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1E" w:rsidRDefault="0009541E" w:rsidP="0009541E">
      <w:pPr>
        <w:spacing w:line="0" w:lineRule="atLeast"/>
        <w:ind w:left="440" w:hanging="320"/>
        <w:jc w:val="center"/>
        <w:rPr>
          <w:rFonts w:ascii="Times New Roman" w:eastAsia="標楷體" w:hAnsi="標楷體"/>
          <w:b/>
          <w:sz w:val="32"/>
          <w:szCs w:val="32"/>
        </w:rPr>
      </w:pPr>
      <w:r w:rsidRPr="00C67B05">
        <w:rPr>
          <w:rFonts w:ascii="Times New Roman" w:eastAsia="標楷體" w:hAnsi="標楷體" w:hint="eastAsia"/>
          <w:b/>
          <w:sz w:val="32"/>
          <w:szCs w:val="32"/>
        </w:rPr>
        <w:t>中國文化大學</w:t>
      </w:r>
      <w:r>
        <w:rPr>
          <w:rFonts w:ascii="Times New Roman" w:eastAsia="標楷體" w:hAnsi="標楷體" w:hint="eastAsia"/>
          <w:b/>
          <w:sz w:val="32"/>
          <w:szCs w:val="32"/>
        </w:rPr>
        <w:t>102</w:t>
      </w:r>
      <w:r>
        <w:rPr>
          <w:rFonts w:ascii="Times New Roman" w:eastAsia="標楷體" w:hAnsi="標楷體" w:hint="eastAsia"/>
          <w:b/>
          <w:sz w:val="32"/>
          <w:szCs w:val="32"/>
        </w:rPr>
        <w:t>年度教育部獎勵大學教學卓越計畫</w:t>
      </w:r>
    </w:p>
    <w:p w:rsidR="0009541E" w:rsidRPr="00C67B05" w:rsidRDefault="0009541E" w:rsidP="0009541E">
      <w:pPr>
        <w:spacing w:line="0" w:lineRule="atLeast"/>
        <w:ind w:left="440" w:hanging="320"/>
        <w:jc w:val="center"/>
        <w:rPr>
          <w:rFonts w:ascii="Times New Roman" w:eastAsia="標楷體" w:hAnsi="標楷體"/>
          <w:b/>
          <w:sz w:val="32"/>
          <w:szCs w:val="32"/>
        </w:rPr>
      </w:pPr>
      <w:r>
        <w:rPr>
          <w:rFonts w:ascii="Times New Roman" w:eastAsia="標楷體" w:hAnsi="標楷體" w:hint="eastAsia"/>
          <w:b/>
          <w:sz w:val="32"/>
          <w:szCs w:val="32"/>
        </w:rPr>
        <w:t>計畫成果紀錄表</w:t>
      </w:r>
    </w:p>
    <w:p w:rsidR="0009541E" w:rsidRPr="00AA4D32" w:rsidRDefault="0009541E" w:rsidP="0009541E">
      <w:pPr>
        <w:spacing w:line="0" w:lineRule="atLeast"/>
        <w:ind w:left="360" w:hanging="240"/>
        <w:jc w:val="center"/>
        <w:rPr>
          <w:rFonts w:ascii="Times New Roman" w:eastAsia="標楷體" w:hAnsi="標楷體"/>
          <w:b/>
          <w:szCs w:val="24"/>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9"/>
        <w:gridCol w:w="6384"/>
        <w:gridCol w:w="2547"/>
      </w:tblGrid>
      <w:tr w:rsidR="0009541E" w:rsidRPr="002C2F01" w:rsidTr="004F008D">
        <w:trPr>
          <w:trHeight w:val="120"/>
          <w:jc w:val="center"/>
        </w:trPr>
        <w:tc>
          <w:tcPr>
            <w:tcW w:w="1511" w:type="dxa"/>
            <w:tcBorders>
              <w:top w:val="single" w:sz="12" w:space="0" w:color="auto"/>
              <w:left w:val="single" w:sz="12" w:space="0" w:color="auto"/>
              <w:bottom w:val="single" w:sz="12" w:space="0" w:color="auto"/>
            </w:tcBorders>
            <w:shd w:val="clear" w:color="auto" w:fill="auto"/>
            <w:vAlign w:val="center"/>
          </w:tcPr>
          <w:p w:rsidR="0009541E" w:rsidRPr="002C2F01" w:rsidRDefault="0009541E" w:rsidP="004F008D">
            <w:pPr>
              <w:ind w:left="360" w:hanging="240"/>
              <w:jc w:val="both"/>
              <w:rPr>
                <w:rFonts w:ascii="標楷體" w:eastAsia="標楷體" w:hAnsi="標楷體"/>
                <w:b/>
                <w:szCs w:val="24"/>
              </w:rPr>
            </w:pPr>
            <w:r w:rsidRPr="002C2F01">
              <w:rPr>
                <w:rFonts w:ascii="標楷體" w:eastAsia="標楷體" w:hAnsi="標楷體" w:hint="eastAsia"/>
                <w:b/>
                <w:szCs w:val="24"/>
              </w:rPr>
              <w:t>計畫類別</w:t>
            </w:r>
          </w:p>
        </w:tc>
        <w:tc>
          <w:tcPr>
            <w:tcW w:w="8609" w:type="dxa"/>
            <w:gridSpan w:val="2"/>
            <w:tcBorders>
              <w:top w:val="single" w:sz="12" w:space="0" w:color="auto"/>
              <w:bottom w:val="single" w:sz="12" w:space="0" w:color="auto"/>
              <w:right w:val="single" w:sz="12" w:space="0" w:color="auto"/>
            </w:tcBorders>
            <w:shd w:val="clear" w:color="auto" w:fill="auto"/>
            <w:vAlign w:val="center"/>
          </w:tcPr>
          <w:p w:rsidR="0009541E" w:rsidRPr="002C2F01" w:rsidRDefault="0009541E" w:rsidP="004F008D">
            <w:pPr>
              <w:ind w:left="360" w:hanging="240"/>
              <w:jc w:val="both"/>
              <w:rPr>
                <w:rFonts w:ascii="標楷體" w:eastAsia="標楷體" w:hAnsi="標楷體"/>
                <w:szCs w:val="24"/>
              </w:rPr>
            </w:pPr>
            <w:r>
              <w:rPr>
                <w:rFonts w:ascii="標楷體" w:eastAsia="標楷體" w:hAnsi="標楷體" w:hint="eastAsia"/>
                <w:szCs w:val="24"/>
              </w:rPr>
              <w:t>H</w:t>
            </w:r>
            <w:r w:rsidRPr="002C2F01">
              <w:rPr>
                <w:rFonts w:ascii="標楷體" w:eastAsia="標楷體" w:hAnsi="標楷體" w:hint="eastAsia"/>
                <w:szCs w:val="24"/>
              </w:rPr>
              <w:t>計畫-</w:t>
            </w:r>
            <w:r>
              <w:rPr>
                <w:rFonts w:ascii="標楷體" w:eastAsia="標楷體" w:hAnsi="標楷體" w:hint="eastAsia"/>
                <w:szCs w:val="24"/>
              </w:rPr>
              <w:t xml:space="preserve"> </w:t>
            </w:r>
            <w:r w:rsidRPr="00862833">
              <w:rPr>
                <w:rFonts w:ascii="標楷體" w:eastAsia="標楷體" w:hAnsi="標楷體" w:hint="eastAsia"/>
                <w:szCs w:val="24"/>
              </w:rPr>
              <w:t>提升學生專業實作能力計畫</w:t>
            </w:r>
          </w:p>
        </w:tc>
      </w:tr>
      <w:tr w:rsidR="0009541E" w:rsidRPr="002C2F01" w:rsidTr="004F008D">
        <w:trPr>
          <w:trHeight w:val="225"/>
          <w:jc w:val="center"/>
        </w:trPr>
        <w:tc>
          <w:tcPr>
            <w:tcW w:w="1511" w:type="dxa"/>
            <w:tcBorders>
              <w:top w:val="single" w:sz="12" w:space="0" w:color="auto"/>
              <w:left w:val="single" w:sz="12" w:space="0" w:color="auto"/>
            </w:tcBorders>
            <w:shd w:val="clear" w:color="auto" w:fill="auto"/>
            <w:vAlign w:val="center"/>
          </w:tcPr>
          <w:p w:rsidR="0009541E" w:rsidRPr="002C2F01" w:rsidRDefault="0009541E" w:rsidP="004F008D">
            <w:pPr>
              <w:ind w:leftChars="16" w:left="38" w:firstLineChars="0" w:firstLine="0"/>
              <w:rPr>
                <w:rFonts w:ascii="標楷體" w:eastAsia="標楷體" w:hAnsi="標楷體"/>
                <w:b/>
                <w:szCs w:val="24"/>
              </w:rPr>
            </w:pPr>
            <w:r w:rsidRPr="002C2F01">
              <w:rPr>
                <w:rFonts w:ascii="標楷體" w:eastAsia="標楷體" w:hAnsi="標楷體" w:hint="eastAsia"/>
                <w:b/>
                <w:szCs w:val="24"/>
              </w:rPr>
              <w:t>子計畫名稱</w:t>
            </w:r>
          </w:p>
        </w:tc>
        <w:tc>
          <w:tcPr>
            <w:tcW w:w="8609" w:type="dxa"/>
            <w:gridSpan w:val="2"/>
            <w:tcBorders>
              <w:top w:val="single" w:sz="12" w:space="0" w:color="auto"/>
              <w:right w:val="single" w:sz="12" w:space="0" w:color="auto"/>
            </w:tcBorders>
            <w:shd w:val="clear" w:color="auto" w:fill="auto"/>
            <w:vAlign w:val="center"/>
          </w:tcPr>
          <w:p w:rsidR="0009541E" w:rsidRPr="002C2F01" w:rsidRDefault="0009541E" w:rsidP="004F008D">
            <w:pPr>
              <w:ind w:left="360" w:hanging="240"/>
              <w:jc w:val="both"/>
              <w:rPr>
                <w:rFonts w:ascii="標楷體" w:eastAsia="標楷體" w:hAnsi="標楷體"/>
                <w:szCs w:val="24"/>
              </w:rPr>
            </w:pPr>
            <w:r>
              <w:rPr>
                <w:rFonts w:ascii="標楷體" w:eastAsia="標楷體" w:hAnsi="標楷體" w:hint="eastAsia"/>
                <w:szCs w:val="24"/>
              </w:rPr>
              <w:t xml:space="preserve">H8 </w:t>
            </w:r>
            <w:r w:rsidRPr="002C2F01">
              <w:rPr>
                <w:rFonts w:ascii="標楷體" w:eastAsia="標楷體" w:hAnsi="標楷體" w:hint="eastAsia"/>
                <w:szCs w:val="24"/>
              </w:rPr>
              <w:t xml:space="preserve"> </w:t>
            </w:r>
            <w:r w:rsidRPr="00862833">
              <w:rPr>
                <w:rFonts w:ascii="標楷體" w:eastAsia="標楷體" w:hAnsi="標楷體" w:hint="eastAsia"/>
                <w:szCs w:val="24"/>
              </w:rPr>
              <w:t>商學院提升學生專業實作能力計畫</w:t>
            </w:r>
          </w:p>
        </w:tc>
      </w:tr>
      <w:tr w:rsidR="0009541E" w:rsidRPr="002C2F01" w:rsidTr="004F008D">
        <w:trPr>
          <w:trHeight w:val="450"/>
          <w:jc w:val="center"/>
        </w:trPr>
        <w:tc>
          <w:tcPr>
            <w:tcW w:w="1511" w:type="dxa"/>
            <w:tcBorders>
              <w:top w:val="single" w:sz="4" w:space="0" w:color="auto"/>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Times New Roman"/>
                <w:b/>
                <w:szCs w:val="24"/>
              </w:rPr>
            </w:pPr>
            <w:r w:rsidRPr="002C2F01">
              <w:rPr>
                <w:rFonts w:ascii="Times New Roman" w:eastAsia="標楷體" w:hAnsi="標楷體" w:hint="eastAsia"/>
                <w:b/>
                <w:szCs w:val="24"/>
              </w:rPr>
              <w:t>主題</w:t>
            </w:r>
          </w:p>
        </w:tc>
        <w:tc>
          <w:tcPr>
            <w:tcW w:w="8609" w:type="dxa"/>
            <w:gridSpan w:val="2"/>
            <w:tcBorders>
              <w:top w:val="single" w:sz="4" w:space="0" w:color="auto"/>
              <w:right w:val="single" w:sz="12" w:space="0" w:color="auto"/>
            </w:tcBorders>
            <w:shd w:val="clear" w:color="auto" w:fill="auto"/>
            <w:vAlign w:val="center"/>
          </w:tcPr>
          <w:p w:rsidR="0009541E" w:rsidRPr="00C75EEF" w:rsidRDefault="0009541E" w:rsidP="004F008D">
            <w:pPr>
              <w:pStyle w:val="Default"/>
              <w:ind w:left="360" w:hanging="240"/>
              <w:jc w:val="both"/>
              <w:rPr>
                <w:rFonts w:ascii="Times New Roman" w:eastAsia="標楷體" w:hAnsi="Times New Roman"/>
              </w:rPr>
            </w:pPr>
            <w:r>
              <w:rPr>
                <w:rFonts w:ascii="Arial" w:eastAsia="標楷體" w:hAnsi="標楷體" w:hint="eastAsia"/>
              </w:rPr>
              <w:t>業師演講</w:t>
            </w:r>
          </w:p>
        </w:tc>
      </w:tr>
      <w:tr w:rsidR="0009541E" w:rsidRPr="002C2F01" w:rsidTr="004F008D">
        <w:trPr>
          <w:trHeight w:val="3628"/>
          <w:jc w:val="center"/>
        </w:trPr>
        <w:tc>
          <w:tcPr>
            <w:tcW w:w="1511" w:type="dxa"/>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r w:rsidRPr="002C2F01">
              <w:rPr>
                <w:rFonts w:ascii="Times New Roman" w:eastAsia="標楷體" w:hAnsi="標楷體" w:hint="eastAsia"/>
                <w:b/>
                <w:szCs w:val="24"/>
              </w:rPr>
              <w:t>內容</w:t>
            </w:r>
          </w:p>
          <w:p w:rsidR="0009541E" w:rsidRPr="002C2F01" w:rsidRDefault="0009541E" w:rsidP="004F008D">
            <w:pPr>
              <w:ind w:left="320" w:hanging="200"/>
              <w:jc w:val="center"/>
              <w:rPr>
                <w:rFonts w:ascii="Times New Roman" w:eastAsia="標楷體" w:hAnsi="標楷體"/>
                <w:b/>
                <w:szCs w:val="24"/>
              </w:rPr>
            </w:pPr>
            <w:r w:rsidRPr="002C2F01">
              <w:rPr>
                <w:rFonts w:ascii="Times New Roman" w:eastAsia="標楷體" w:hAnsi="標楷體" w:hint="eastAsia"/>
                <w:sz w:val="20"/>
                <w:szCs w:val="20"/>
              </w:rPr>
              <w:t>（活動內容簡述</w:t>
            </w:r>
            <w:r w:rsidRPr="002C2F01">
              <w:rPr>
                <w:rFonts w:ascii="Times New Roman" w:eastAsia="標楷體" w:hAnsi="標楷體" w:hint="eastAsia"/>
                <w:sz w:val="20"/>
                <w:szCs w:val="20"/>
              </w:rPr>
              <w:t>/</w:t>
            </w:r>
            <w:r w:rsidRPr="002C2F01">
              <w:rPr>
                <w:rFonts w:ascii="Times New Roman" w:eastAsia="標楷體" w:hAnsi="標楷體" w:hint="eastAsia"/>
                <w:sz w:val="20"/>
                <w:szCs w:val="20"/>
              </w:rPr>
              <w:t>執行成效）</w:t>
            </w:r>
          </w:p>
        </w:tc>
        <w:tc>
          <w:tcPr>
            <w:tcW w:w="8609" w:type="dxa"/>
            <w:gridSpan w:val="2"/>
            <w:tcBorders>
              <w:bottom w:val="single" w:sz="4" w:space="0" w:color="auto"/>
              <w:right w:val="single" w:sz="12" w:space="0" w:color="auto"/>
            </w:tcBorders>
            <w:shd w:val="clear" w:color="auto" w:fill="auto"/>
          </w:tcPr>
          <w:p w:rsidR="0009541E" w:rsidRPr="002C2F01" w:rsidRDefault="0009541E" w:rsidP="004F008D">
            <w:pPr>
              <w:ind w:left="360" w:hanging="240"/>
              <w:jc w:val="both"/>
              <w:rPr>
                <w:rFonts w:ascii="標楷體" w:eastAsia="標楷體" w:hAnsi="標楷體"/>
                <w:szCs w:val="24"/>
              </w:rPr>
            </w:pPr>
            <w:r w:rsidRPr="002C2F01">
              <w:rPr>
                <w:rFonts w:ascii="標楷體" w:eastAsia="標楷體" w:hAnsi="標楷體" w:hint="eastAsia"/>
                <w:szCs w:val="24"/>
              </w:rPr>
              <w:t>主辦單位：</w:t>
            </w:r>
            <w:r>
              <w:rPr>
                <w:rFonts w:ascii="標楷體" w:eastAsia="標楷體" w:hAnsi="標楷體" w:hint="eastAsia"/>
                <w:szCs w:val="24"/>
              </w:rPr>
              <w:t>國貿系</w:t>
            </w:r>
          </w:p>
          <w:p w:rsidR="0009541E" w:rsidRDefault="0009541E" w:rsidP="004F008D">
            <w:pPr>
              <w:ind w:left="360" w:hanging="240"/>
              <w:jc w:val="both"/>
              <w:rPr>
                <w:rFonts w:ascii="標楷體" w:eastAsia="標楷體" w:hAnsi="標楷體"/>
                <w:szCs w:val="24"/>
              </w:rPr>
            </w:pPr>
            <w:r>
              <w:rPr>
                <w:rFonts w:ascii="標楷體" w:eastAsia="標楷體" w:hAnsi="標楷體" w:hint="eastAsia"/>
                <w:szCs w:val="24"/>
              </w:rPr>
              <w:t>活動</w:t>
            </w:r>
            <w:r w:rsidRPr="002C2F01">
              <w:rPr>
                <w:rFonts w:ascii="標楷體" w:eastAsia="標楷體" w:hAnsi="標楷體" w:hint="eastAsia"/>
                <w:szCs w:val="24"/>
              </w:rPr>
              <w:t>日期：</w:t>
            </w:r>
            <w:r>
              <w:rPr>
                <w:rFonts w:ascii="標楷體" w:eastAsia="標楷體" w:hAnsi="標楷體" w:hint="eastAsia"/>
                <w:szCs w:val="24"/>
              </w:rPr>
              <w:t>2014年05月13日</w:t>
            </w:r>
            <w:r w:rsidR="00E021C5">
              <w:rPr>
                <w:rFonts w:ascii="標楷體" w:eastAsia="標楷體" w:hAnsi="標楷體" w:hint="eastAsia"/>
                <w:szCs w:val="24"/>
              </w:rPr>
              <w:t xml:space="preserve">  PM3</w:t>
            </w:r>
            <w:r w:rsidR="00CA0A18">
              <w:rPr>
                <w:rFonts w:ascii="標楷體" w:eastAsia="標楷體" w:hAnsi="標楷體" w:hint="eastAsia"/>
                <w:szCs w:val="24"/>
              </w:rPr>
              <w:t>:00-</w:t>
            </w:r>
            <w:r w:rsidR="00E021C5">
              <w:rPr>
                <w:rFonts w:ascii="標楷體" w:eastAsia="標楷體" w:hAnsi="標楷體" w:hint="eastAsia"/>
                <w:szCs w:val="24"/>
              </w:rPr>
              <w:t>5</w:t>
            </w:r>
            <w:r>
              <w:rPr>
                <w:rFonts w:ascii="標楷體" w:eastAsia="標楷體" w:hAnsi="標楷體" w:hint="eastAsia"/>
                <w:szCs w:val="24"/>
              </w:rPr>
              <w:t>:00</w:t>
            </w:r>
          </w:p>
          <w:p w:rsidR="0009541E" w:rsidRDefault="0009541E" w:rsidP="004F008D">
            <w:pPr>
              <w:ind w:left="360" w:hanging="240"/>
              <w:jc w:val="both"/>
              <w:rPr>
                <w:rFonts w:ascii="標楷體" w:eastAsia="標楷體" w:hAnsi="標楷體"/>
                <w:szCs w:val="24"/>
              </w:rPr>
            </w:pPr>
            <w:r>
              <w:rPr>
                <w:rFonts w:ascii="標楷體" w:eastAsia="標楷體" w:hAnsi="標楷體" w:hint="eastAsia"/>
                <w:szCs w:val="24"/>
              </w:rPr>
              <w:t>活動地點</w:t>
            </w:r>
            <w:r w:rsidRPr="002C2F01">
              <w:rPr>
                <w:rFonts w:ascii="標楷體" w:eastAsia="標楷體" w:hAnsi="標楷體" w:hint="eastAsia"/>
                <w:szCs w:val="24"/>
              </w:rPr>
              <w:t>：</w:t>
            </w:r>
            <w:r>
              <w:rPr>
                <w:rFonts w:ascii="標楷體" w:eastAsia="標楷體" w:hAnsi="標楷體" w:hint="eastAsia"/>
                <w:szCs w:val="24"/>
              </w:rPr>
              <w:t>大賢102</w:t>
            </w:r>
          </w:p>
          <w:p w:rsidR="0009541E" w:rsidRDefault="0009541E" w:rsidP="004F008D">
            <w:pPr>
              <w:ind w:left="360" w:hanging="240"/>
              <w:jc w:val="both"/>
              <w:rPr>
                <w:rFonts w:ascii="標楷體" w:eastAsia="標楷體" w:hAnsi="標楷體"/>
                <w:szCs w:val="24"/>
              </w:rPr>
            </w:pPr>
            <w:r>
              <w:rPr>
                <w:rFonts w:ascii="標楷體" w:eastAsia="標楷體" w:hAnsi="標楷體" w:hint="eastAsia"/>
                <w:szCs w:val="24"/>
              </w:rPr>
              <w:t>主 講 者： -侯州燕</w:t>
            </w:r>
          </w:p>
          <w:p w:rsidR="0009541E" w:rsidRDefault="0009541E" w:rsidP="004F008D">
            <w:pPr>
              <w:ind w:left="360" w:hanging="240"/>
              <w:jc w:val="both"/>
              <w:rPr>
                <w:rFonts w:ascii="標楷體" w:eastAsia="標楷體" w:hAnsi="標楷體"/>
                <w:szCs w:val="24"/>
              </w:rPr>
            </w:pPr>
            <w:r>
              <w:rPr>
                <w:rFonts w:ascii="標楷體" w:eastAsia="標楷體" w:hAnsi="標楷體" w:hint="eastAsia"/>
                <w:szCs w:val="24"/>
              </w:rPr>
              <w:t>參與人數：</w:t>
            </w:r>
            <w:r>
              <w:rPr>
                <w:rFonts w:ascii="標楷體" w:eastAsia="標楷體" w:hAnsi="標楷體" w:hint="eastAsia"/>
                <w:szCs w:val="24"/>
                <w:u w:val="single"/>
              </w:rPr>
              <w:t>16</w:t>
            </w:r>
            <w:r>
              <w:rPr>
                <w:rFonts w:ascii="標楷體" w:eastAsia="標楷體" w:hAnsi="標楷體" w:hint="eastAsia"/>
                <w:szCs w:val="24"/>
              </w:rPr>
              <w:t>人（教師</w:t>
            </w:r>
            <w:r w:rsidRPr="002F4033">
              <w:rPr>
                <w:rFonts w:ascii="標楷體" w:eastAsia="標楷體" w:hAnsi="標楷體" w:hint="eastAsia"/>
                <w:szCs w:val="24"/>
                <w:u w:val="single"/>
              </w:rPr>
              <w:t>1</w:t>
            </w:r>
            <w:r>
              <w:rPr>
                <w:rFonts w:ascii="標楷體" w:eastAsia="標楷體" w:hAnsi="標楷體" w:hint="eastAsia"/>
                <w:szCs w:val="24"/>
              </w:rPr>
              <w:t>人、學生</w:t>
            </w:r>
            <w:r>
              <w:rPr>
                <w:rFonts w:ascii="標楷體" w:eastAsia="標楷體" w:hAnsi="標楷體" w:hint="eastAsia"/>
                <w:szCs w:val="24"/>
                <w:u w:val="single"/>
              </w:rPr>
              <w:t>15</w:t>
            </w:r>
            <w:r>
              <w:rPr>
                <w:rFonts w:ascii="標楷體" w:eastAsia="標楷體" w:hAnsi="標楷體" w:hint="eastAsia"/>
                <w:szCs w:val="24"/>
              </w:rPr>
              <w:t>人、行政人員</w:t>
            </w:r>
            <w:r w:rsidRPr="002F4033">
              <w:rPr>
                <w:rFonts w:ascii="標楷體" w:eastAsia="標楷體" w:hAnsi="標楷體" w:hint="eastAsia"/>
                <w:szCs w:val="24"/>
                <w:u w:val="single"/>
              </w:rPr>
              <w:t>0</w:t>
            </w:r>
            <w:r>
              <w:rPr>
                <w:rFonts w:ascii="標楷體" w:eastAsia="標楷體" w:hAnsi="標楷體" w:hint="eastAsia"/>
                <w:szCs w:val="24"/>
              </w:rPr>
              <w:t>人、校外</w:t>
            </w:r>
            <w:r>
              <w:rPr>
                <w:rFonts w:ascii="標楷體" w:eastAsia="標楷體" w:hAnsi="標楷體" w:hint="eastAsia"/>
                <w:szCs w:val="24"/>
                <w:u w:val="single"/>
              </w:rPr>
              <w:t>0</w:t>
            </w:r>
            <w:r>
              <w:rPr>
                <w:rFonts w:ascii="標楷體" w:eastAsia="標楷體" w:hAnsi="標楷體" w:hint="eastAsia"/>
                <w:szCs w:val="24"/>
              </w:rPr>
              <w:t>人）</w:t>
            </w:r>
          </w:p>
          <w:p w:rsidR="0009541E" w:rsidRDefault="0009541E" w:rsidP="004F008D">
            <w:pPr>
              <w:ind w:left="360" w:hanging="240"/>
              <w:jc w:val="both"/>
              <w:rPr>
                <w:rFonts w:ascii="標楷體" w:eastAsia="標楷體" w:hAnsi="標楷體"/>
                <w:szCs w:val="24"/>
              </w:rPr>
            </w:pPr>
            <w:r>
              <w:rPr>
                <w:rFonts w:ascii="標楷體" w:eastAsia="標楷體" w:hAnsi="標楷體" w:hint="eastAsia"/>
                <w:szCs w:val="24"/>
              </w:rPr>
              <w:t xml:space="preserve">內　　容：公司理財個案研討  </w:t>
            </w:r>
          </w:p>
          <w:p w:rsidR="00F93434" w:rsidRPr="00544D7C" w:rsidRDefault="00F93434" w:rsidP="00F93434">
            <w:pPr>
              <w:ind w:leftChars="22" w:left="153" w:firstLineChars="0"/>
              <w:jc w:val="both"/>
              <w:rPr>
                <w:rFonts w:ascii="標楷體" w:eastAsia="標楷體" w:hAnsi="標楷體"/>
                <w:szCs w:val="24"/>
              </w:rPr>
            </w:pPr>
            <w:r w:rsidRPr="00544D7C">
              <w:rPr>
                <w:rFonts w:ascii="標楷體" w:eastAsia="標楷體" w:hAnsi="標楷體" w:hint="eastAsia"/>
                <w:szCs w:val="24"/>
              </w:rPr>
              <w:t xml:space="preserve">課程大綱： </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如何取得資金:</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1.Myers與Majluf之融資順位理論：</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 xml:space="preserve">  a.保留盈餘</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 xml:space="preserve">  b.舉債</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 xml:space="preserve">  c.現增發行新股</w:t>
            </w:r>
          </w:p>
          <w:p w:rsidR="00F93434" w:rsidRPr="00851CD2" w:rsidRDefault="00F93434" w:rsidP="00F93434">
            <w:pPr>
              <w:ind w:leftChars="62" w:left="249" w:firstLineChars="0"/>
              <w:jc w:val="both"/>
              <w:rPr>
                <w:rFonts w:ascii="標楷體" w:eastAsia="標楷體" w:hAnsi="標楷體" w:hint="eastAsia"/>
                <w:szCs w:val="24"/>
              </w:rPr>
            </w:pPr>
            <w:r w:rsidRPr="00851CD2">
              <w:rPr>
                <w:rFonts w:ascii="標楷體" w:eastAsia="標楷體" w:hAnsi="標楷體" w:hint="eastAsia"/>
                <w:szCs w:val="24"/>
              </w:rPr>
              <w:t>2.可轉換公司債 / 存託憑證</w:t>
            </w:r>
          </w:p>
          <w:p w:rsidR="00F93434" w:rsidRPr="00544D7C" w:rsidRDefault="00F93434" w:rsidP="00F93434">
            <w:pPr>
              <w:ind w:leftChars="62" w:left="249" w:firstLineChars="0"/>
              <w:jc w:val="both"/>
              <w:rPr>
                <w:rFonts w:ascii="標楷體" w:eastAsia="標楷體" w:hAnsi="標楷體"/>
                <w:szCs w:val="24"/>
              </w:rPr>
            </w:pPr>
            <w:r w:rsidRPr="00851CD2">
              <w:rPr>
                <w:rFonts w:ascii="標楷體" w:eastAsia="標楷體" w:hAnsi="標楷體" w:hint="eastAsia"/>
                <w:szCs w:val="24"/>
              </w:rPr>
              <w:t>3.私募</w:t>
            </w:r>
          </w:p>
          <w:p w:rsidR="00F93434" w:rsidRPr="00851CD2" w:rsidRDefault="00F93434" w:rsidP="00F93434">
            <w:pPr>
              <w:ind w:leftChars="0" w:left="0" w:firstLineChars="0" w:firstLine="0"/>
              <w:jc w:val="both"/>
              <w:rPr>
                <w:rFonts w:ascii="標楷體" w:eastAsia="標楷體" w:hAnsi="標楷體"/>
                <w:szCs w:val="24"/>
              </w:rPr>
            </w:pP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一、保留盈餘</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保留盈餘也稱留用利潤、留存收益、留存盈餘,資本公積。 是指公司歷年累積之純益，未以現金或其它資產方式分配給股東、轉為資本或資本公積者；或歷年累積虧損未經以資本公積彌補者。保留盈餘是連結損益表與資產負債表之股東權益的一個科目。保留盈餘是把公司的一部分盈利留在企業作為再投資之用，所以股利政策也屬於企業長期融資戰略的一個重要組成部分。</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保留盈餘的計算方法:　保留盈餘＝期初保留盈利＋凈利潤－向股東派發的股息</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二、舉債</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舉債就是國家、團體、個人憑藉信譽籌集社會資金所擔負的一種債務。舉債按償還期不同可分為短期借款和長期借款。短期借款一般是企業為維持正常的生產經營所需資金而借入的或為抵償某債務而借人的，其債權人一般為銀行、其他金融機構或其他單位和個人。長期借款是指企業向銀行或其他金融機構借入的期限在一年以上或超過一年的一個營業周期以上I的各種借款。企業舉借長期借款主要是為了擴大經營規模，添置長期耐用的各種固定資產。長期借款通常數額較大、償還期較長。</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三、現增發行新股</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lastRenderedPageBreak/>
              <w:t xml:space="preserve">  公司若營運良好，每年皆有固定配發股利，股利分兩種：股票股利與現金股利。其中股票股利又分為資本公積配股和盈餘轉增資配股兩種，資本公積來源為溢價資本公積，法定資本公積等。公司申辦資產重估後若有增值部份得列入資本公積，溢價資本公積來源為現金增資溢價部份。</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四、可轉換公司債</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可轉換公司債券是一種被賦予了股票轉換權的公司債券，也稱可轉換債券。發行公司事先規定債權人可以選擇有利時機，按發行時規定的條件把其債券轉換成發行公司的等值股票（普通股票）。可轉換公司債是一種混合型的債券形式。當投資者不太清楚發行公司的發展潛力及前景時，可先投資於這種債券。待發行公司經營業績顯著，經營前景樂觀，其股票行市看漲時，則可將債券轉換為股票，以受益於公司的發展。可轉換債券對於投資者來說，是多了一種投資選擇機會。因此，即使可轉換債券的收益比一般債券收益低些，但在投資機會選擇的權衡中，這種債券仍然受到投資者的歡迎。可轉換公司債券在國外債券市場上頗為盛行。這種公司債券最早出現在英國，目前美國公司也多發行這種公司債。日本於1938年“商法”改正後－些公司開始發行這種債券。由於可轉換債券具有可轉換成股票這一優越條件，因而其發行利率較之普通債券為低。</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五、存託憑證</w:t>
            </w:r>
          </w:p>
          <w:p w:rsidR="00F93434" w:rsidRPr="00851CD2" w:rsidRDefault="00F93434" w:rsidP="00F93434">
            <w:pPr>
              <w:ind w:leftChars="22" w:left="153" w:firstLineChars="0"/>
              <w:jc w:val="both"/>
              <w:rPr>
                <w:rFonts w:ascii="標楷體" w:eastAsia="標楷體" w:hAnsi="標楷體" w:hint="eastAsia"/>
                <w:szCs w:val="24"/>
              </w:rPr>
            </w:pPr>
            <w:r>
              <w:rPr>
                <w:rFonts w:ascii="標楷體" w:eastAsia="標楷體" w:hAnsi="標楷體" w:hint="eastAsia"/>
                <w:szCs w:val="24"/>
              </w:rPr>
              <w:t xml:space="preserve"> </w:t>
            </w:r>
            <w:r w:rsidRPr="00851CD2">
              <w:rPr>
                <w:rFonts w:ascii="標楷體" w:eastAsia="標楷體" w:hAnsi="標楷體" w:hint="eastAsia"/>
                <w:szCs w:val="24"/>
              </w:rPr>
              <w:t>海外存託憑證≒股票:都是握有該發行公司股權的一種受益憑證，且對該發行公司企業具有相同的股東權利與義務。</w:t>
            </w:r>
          </w:p>
          <w:p w:rsidR="00F93434" w:rsidRPr="00851CD2" w:rsidRDefault="00F93434" w:rsidP="00F93434">
            <w:pPr>
              <w:ind w:leftChars="22" w:left="153" w:firstLineChars="0"/>
              <w:jc w:val="both"/>
              <w:rPr>
                <w:rFonts w:ascii="標楷體" w:eastAsia="標楷體" w:hAnsi="標楷體" w:hint="eastAsia"/>
                <w:szCs w:val="24"/>
              </w:rPr>
            </w:pPr>
            <w:r>
              <w:rPr>
                <w:rFonts w:ascii="標楷體" w:eastAsia="標楷體" w:hAnsi="標楷體" w:hint="eastAsia"/>
                <w:szCs w:val="24"/>
              </w:rPr>
              <w:t xml:space="preserve"> </w:t>
            </w:r>
            <w:r w:rsidRPr="00851CD2">
              <w:rPr>
                <w:rFonts w:ascii="標楷體" w:eastAsia="標楷體" w:hAnsi="標楷體" w:hint="eastAsia"/>
                <w:szCs w:val="24"/>
              </w:rPr>
              <w:t>海外存託憑證≠股票:海外存託憑證是本國企業直接至海外透過國外存託機構發行的一種憑證，可在證券市場公開上市買賣，但交易、買賣需依發行當地國家的規定；換言之，是一種間接持有本國上市公司股票的一種方式，持有人可將其轉換成股票，在股票原上市地點出售。</w:t>
            </w:r>
          </w:p>
          <w:p w:rsidR="00F93434" w:rsidRPr="00851CD2" w:rsidRDefault="00F93434" w:rsidP="00F93434">
            <w:pPr>
              <w:ind w:leftChars="64" w:left="154" w:firstLineChars="0" w:firstLine="0"/>
              <w:jc w:val="both"/>
              <w:rPr>
                <w:rFonts w:ascii="標楷體" w:eastAsia="標楷體" w:hAnsi="標楷體" w:hint="eastAsia"/>
                <w:szCs w:val="24"/>
              </w:rPr>
            </w:pPr>
            <w:r w:rsidRPr="00851CD2">
              <w:rPr>
                <w:rFonts w:ascii="標楷體" w:eastAsia="標楷體" w:hAnsi="標楷體" w:hint="eastAsia"/>
                <w:szCs w:val="24"/>
              </w:rPr>
              <w:t>根據不同的存託憑證發行、交易地，而有不同的名稱，例如：</w:t>
            </w:r>
          </w:p>
          <w:p w:rsidR="00F93434" w:rsidRPr="00851CD2" w:rsidRDefault="00F93434" w:rsidP="00F93434">
            <w:pPr>
              <w:ind w:leftChars="64" w:left="154" w:firstLineChars="0" w:firstLine="0"/>
              <w:jc w:val="both"/>
              <w:rPr>
                <w:rFonts w:ascii="標楷體" w:eastAsia="標楷體" w:hAnsi="標楷體" w:hint="eastAsia"/>
                <w:szCs w:val="24"/>
              </w:rPr>
            </w:pPr>
            <w:r w:rsidRPr="00851CD2">
              <w:rPr>
                <w:rFonts w:ascii="標楷體" w:eastAsia="標楷體" w:hAnsi="標楷體" w:hint="eastAsia"/>
                <w:szCs w:val="24"/>
              </w:rPr>
              <w:t>ADR ( American Depositary Receipt ) → 在美國發行或掛牌的存託憑證。</w:t>
            </w:r>
          </w:p>
          <w:p w:rsidR="00F93434" w:rsidRPr="00851CD2" w:rsidRDefault="00F93434" w:rsidP="00F93434">
            <w:pPr>
              <w:ind w:leftChars="64" w:left="154" w:firstLineChars="0" w:firstLine="0"/>
              <w:jc w:val="both"/>
              <w:rPr>
                <w:rFonts w:ascii="標楷體" w:eastAsia="標楷體" w:hAnsi="標楷體" w:hint="eastAsia"/>
                <w:szCs w:val="24"/>
              </w:rPr>
            </w:pPr>
            <w:r w:rsidRPr="00851CD2">
              <w:rPr>
                <w:rFonts w:ascii="標楷體" w:eastAsia="標楷體" w:hAnsi="標楷體" w:hint="eastAsia"/>
                <w:szCs w:val="24"/>
              </w:rPr>
              <w:t>EDR ( European Depositary Receipt ) → 在歐洲發行的存託憑證。</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GDR ( Global Depositary Receipt ) → 以全球為發行對象，可同時於多國證券市場發行的存託憑證。</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在台灣發行的存託憑證就叫做TDR(Taiwan Depositary Receipts)</w:t>
            </w:r>
          </w:p>
          <w:p w:rsidR="00F93434" w:rsidRPr="00851CD2" w:rsidRDefault="00F93434" w:rsidP="00F93434">
            <w:pPr>
              <w:ind w:leftChars="22" w:left="153" w:firstLineChars="0"/>
              <w:jc w:val="both"/>
              <w:rPr>
                <w:rFonts w:ascii="標楷體" w:eastAsia="標楷體" w:hAnsi="標楷體"/>
                <w:szCs w:val="24"/>
              </w:rPr>
            </w:pP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發行海外存託憑證的優點:</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1.拓展企業海外知名度</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2.避免國內資金排擠效應</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3.引進國外資金，增強本國企業的營運體質。</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4.浮動籌碼移轉至海外，有助於穩定國內股價</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5.海外籌得資金，不需課徵證券交易所得稅。</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6.憑證發行價格大多高於當時普通股價格，等於溢價發行，籌募資金較多，較國內現金增資籌資成本低廉。</w:t>
            </w:r>
          </w:p>
          <w:p w:rsidR="00F93434" w:rsidRPr="00851CD2" w:rsidRDefault="00F93434" w:rsidP="00F93434">
            <w:pPr>
              <w:ind w:leftChars="22" w:left="153" w:firstLineChars="0"/>
              <w:jc w:val="both"/>
              <w:rPr>
                <w:rFonts w:ascii="標楷體" w:eastAsia="標楷體" w:hAnsi="標楷體"/>
                <w:szCs w:val="24"/>
              </w:rPr>
            </w:pP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lastRenderedPageBreak/>
              <w:t>海外存託憑證(DR)也可以有套利空間:</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◎狀況一：當DRA價格低於國內股票A股的價格:</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買進DRA ，同時放空A股，再申請DRA換回A 股，以回補融券放空的部位。</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◎狀況二：當DRA價格高於國內股票A股的價格</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放空DRA ，同時買進A股，等價差縮小時，回補DRA，並賣出A 股，但若價差擴大就產生虧損。</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六、私募</w:t>
            </w:r>
          </w:p>
          <w:p w:rsidR="00F93434" w:rsidRPr="00851CD2" w:rsidRDefault="00F93434" w:rsidP="00F93434">
            <w:pPr>
              <w:ind w:leftChars="22" w:left="153" w:firstLineChars="0"/>
              <w:jc w:val="both"/>
              <w:rPr>
                <w:rFonts w:ascii="標楷體" w:eastAsia="標楷體" w:hAnsi="標楷體" w:hint="eastAsia"/>
                <w:szCs w:val="24"/>
              </w:rPr>
            </w:pPr>
            <w:r w:rsidRPr="00851CD2">
              <w:rPr>
                <w:rFonts w:ascii="標楷體" w:eastAsia="標楷體" w:hAnsi="標楷體" w:hint="eastAsia"/>
                <w:szCs w:val="24"/>
              </w:rPr>
              <w:t xml:space="preserve">  政府、金融機構、工商企業等在發行證券時，可以選擇不同的投資者作為發行對象，由此，可以將證券發行分為公募和私募兩種形式。</w:t>
            </w:r>
          </w:p>
          <w:p w:rsidR="00F93434" w:rsidRPr="00851CD2" w:rsidRDefault="00F93434" w:rsidP="00F93434">
            <w:pPr>
              <w:ind w:leftChars="22" w:left="153" w:firstLineChars="0"/>
              <w:jc w:val="both"/>
              <w:rPr>
                <w:rFonts w:ascii="標楷體" w:eastAsia="標楷體" w:hAnsi="標楷體"/>
                <w:szCs w:val="24"/>
              </w:rPr>
            </w:pPr>
            <w:r w:rsidRPr="00851CD2">
              <w:rPr>
                <w:rFonts w:ascii="標楷體" w:eastAsia="標楷體" w:hAnsi="標楷體" w:hint="eastAsia"/>
                <w:szCs w:val="24"/>
              </w:rPr>
              <w:t>私募(Private Placement)是相對於公募(Public offering)而言，私募是指向小規模數量Accredited Investor（通常35個以下）出售股票，此方式可以免除如在美國證券交易委員會（SEC）的註冊程式。投資者要簽署一份投資書聲明，購買目的是投資而不是為了再次出售。</w:t>
            </w:r>
          </w:p>
          <w:p w:rsidR="0009541E" w:rsidRPr="00F93434" w:rsidRDefault="0009541E" w:rsidP="004F008D">
            <w:pPr>
              <w:ind w:left="360" w:hanging="240"/>
              <w:jc w:val="both"/>
              <w:rPr>
                <w:rFonts w:eastAsia="標楷體"/>
              </w:rPr>
            </w:pPr>
          </w:p>
        </w:tc>
      </w:tr>
      <w:tr w:rsidR="0009541E" w:rsidRPr="002C2F01" w:rsidTr="004F008D">
        <w:trPr>
          <w:trHeight w:val="753"/>
          <w:jc w:val="center"/>
        </w:trPr>
        <w:tc>
          <w:tcPr>
            <w:tcW w:w="1511" w:type="dxa"/>
            <w:vMerge w:val="restart"/>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r w:rsidRPr="002C2F01">
              <w:rPr>
                <w:rFonts w:ascii="Times New Roman" w:eastAsia="標楷體" w:hAnsi="標楷體" w:hint="eastAsia"/>
                <w:b/>
                <w:szCs w:val="24"/>
              </w:rPr>
              <w:lastRenderedPageBreak/>
              <w:t>活動照片</w:t>
            </w:r>
          </w:p>
          <w:p w:rsidR="0009541E" w:rsidRPr="002C2F01" w:rsidRDefault="0009541E" w:rsidP="004F008D">
            <w:pPr>
              <w:ind w:left="330" w:hanging="210"/>
              <w:jc w:val="center"/>
              <w:rPr>
                <w:rFonts w:ascii="Times New Roman" w:eastAsia="標楷體" w:hAnsi="標楷體"/>
                <w:b/>
                <w:szCs w:val="24"/>
              </w:rPr>
            </w:pPr>
            <w:r w:rsidRPr="002C2F01">
              <w:rPr>
                <w:rFonts w:ascii="Arial" w:hAnsi="Arial" w:cs="Arial"/>
                <w:color w:val="696969"/>
                <w:spacing w:val="15"/>
                <w:sz w:val="18"/>
                <w:szCs w:val="18"/>
              </w:rPr>
              <w:t>(</w:t>
            </w:r>
            <w:r w:rsidRPr="002C2F01">
              <w:rPr>
                <w:rFonts w:ascii="Arial" w:hAnsi="Arial" w:cs="Arial"/>
                <w:color w:val="696969"/>
                <w:spacing w:val="15"/>
                <w:sz w:val="18"/>
                <w:szCs w:val="18"/>
              </w:rPr>
              <w:t>檔案大小以不超過</w:t>
            </w:r>
            <w:r w:rsidRPr="002C2F01">
              <w:rPr>
                <w:rFonts w:ascii="Arial" w:hAnsi="Arial" w:cs="Arial"/>
                <w:color w:val="696969"/>
                <w:spacing w:val="15"/>
                <w:sz w:val="18"/>
                <w:szCs w:val="18"/>
              </w:rPr>
              <w:t>2M</w:t>
            </w:r>
            <w:r w:rsidRPr="002C2F01">
              <w:rPr>
                <w:rFonts w:ascii="Arial" w:hAnsi="Arial" w:cs="Arial"/>
                <w:color w:val="696969"/>
                <w:spacing w:val="15"/>
                <w:sz w:val="18"/>
                <w:szCs w:val="18"/>
              </w:rPr>
              <w:t>為限</w:t>
            </w:r>
            <w:r w:rsidRPr="002C2F01">
              <w:rPr>
                <w:rFonts w:ascii="Arial" w:hAnsi="Arial" w:cs="Arial"/>
                <w:color w:val="696969"/>
                <w:spacing w:val="15"/>
                <w:sz w:val="18"/>
                <w:szCs w:val="18"/>
              </w:rPr>
              <w:t xml:space="preserve">) </w:t>
            </w:r>
          </w:p>
        </w:tc>
        <w:tc>
          <w:tcPr>
            <w:tcW w:w="4914" w:type="dxa"/>
            <w:tcBorders>
              <w:right w:val="single" w:sz="4" w:space="0" w:color="auto"/>
            </w:tcBorders>
            <w:shd w:val="clear" w:color="auto" w:fill="auto"/>
            <w:vAlign w:val="center"/>
          </w:tcPr>
          <w:p w:rsidR="0009541E" w:rsidRPr="002C2F01" w:rsidRDefault="0009541E" w:rsidP="004F008D">
            <w:pPr>
              <w:ind w:left="360" w:hanging="240"/>
              <w:jc w:val="center"/>
              <w:rPr>
                <w:rFonts w:ascii="標楷體" w:eastAsia="標楷體" w:hAnsi="標楷體"/>
                <w:b/>
              </w:rPr>
            </w:pPr>
          </w:p>
        </w:tc>
        <w:tc>
          <w:tcPr>
            <w:tcW w:w="3695" w:type="dxa"/>
            <w:tcBorders>
              <w:left w:val="single" w:sz="4" w:space="0" w:color="auto"/>
              <w:right w:val="single" w:sz="12" w:space="0" w:color="auto"/>
            </w:tcBorders>
            <w:shd w:val="clear" w:color="auto" w:fill="auto"/>
            <w:vAlign w:val="center"/>
          </w:tcPr>
          <w:p w:rsidR="0009541E" w:rsidRPr="002C2F01" w:rsidRDefault="0009541E" w:rsidP="004F008D">
            <w:pPr>
              <w:ind w:left="360" w:hanging="240"/>
              <w:jc w:val="center"/>
              <w:rPr>
                <w:rFonts w:ascii="標楷體" w:eastAsia="標楷體" w:hAnsi="標楷體"/>
                <w:b/>
              </w:rPr>
            </w:pPr>
            <w:r w:rsidRPr="002C2F01">
              <w:rPr>
                <w:rFonts w:ascii="標楷體" w:eastAsia="標楷體" w:hAnsi="標楷體" w:hint="eastAsia"/>
                <w:b/>
              </w:rPr>
              <w:t>活動照片內容說明(每張20字內)</w:t>
            </w:r>
          </w:p>
        </w:tc>
      </w:tr>
      <w:tr w:rsidR="0009541E" w:rsidRPr="002C2F01" w:rsidTr="004F008D">
        <w:trPr>
          <w:trHeight w:val="619"/>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2C2F01" w:rsidRDefault="00925188" w:rsidP="004F008D">
            <w:pPr>
              <w:ind w:leftChars="20" w:left="146" w:hangingChars="41" w:hanging="98"/>
              <w:jc w:val="both"/>
              <w:rPr>
                <w:rFonts w:ascii="標楷體" w:eastAsia="標楷體" w:hAnsi="標楷體"/>
              </w:rPr>
            </w:pPr>
            <w:r w:rsidRPr="00925188">
              <w:rPr>
                <w:rFonts w:ascii="標楷體" w:eastAsia="標楷體" w:hAnsi="標楷體"/>
                <w:noProof/>
              </w:rPr>
              <w:drawing>
                <wp:inline distT="0" distB="0" distL="0" distR="0">
                  <wp:extent cx="3857765" cy="2893536"/>
                  <wp:effectExtent l="19050" t="0" r="9385" b="0"/>
                  <wp:docPr id="8" name="圖片 2" descr="IMG_3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7.JPG"/>
                          <pic:cNvPicPr/>
                        </pic:nvPicPr>
                        <pic:blipFill>
                          <a:blip r:embed="rId7" cstate="print"/>
                          <a:stretch>
                            <a:fillRect/>
                          </a:stretch>
                        </pic:blipFill>
                        <pic:spPr>
                          <a:xfrm>
                            <a:off x="0" y="0"/>
                            <a:ext cx="3855640" cy="2891942"/>
                          </a:xfrm>
                          <a:prstGeom prst="rect">
                            <a:avLst/>
                          </a:prstGeom>
                        </pic:spPr>
                      </pic:pic>
                    </a:graphicData>
                  </a:graphic>
                </wp:inline>
              </w:drawing>
            </w:r>
          </w:p>
        </w:tc>
        <w:tc>
          <w:tcPr>
            <w:tcW w:w="3695" w:type="dxa"/>
            <w:tcBorders>
              <w:left w:val="single" w:sz="4" w:space="0" w:color="auto"/>
              <w:right w:val="single" w:sz="12" w:space="0" w:color="auto"/>
            </w:tcBorders>
            <w:shd w:val="clear" w:color="auto" w:fill="auto"/>
          </w:tcPr>
          <w:p w:rsidR="0009541E" w:rsidRPr="002C2F01" w:rsidRDefault="00B62E40" w:rsidP="004F008D">
            <w:pPr>
              <w:ind w:left="360" w:hanging="240"/>
              <w:jc w:val="both"/>
              <w:rPr>
                <w:rFonts w:ascii="標楷體" w:eastAsia="標楷體" w:hAnsi="標楷體"/>
                <w:color w:val="000000"/>
              </w:rPr>
            </w:pPr>
            <w:r>
              <w:rPr>
                <w:rFonts w:ascii="標楷體" w:eastAsia="標楷體" w:hAnsi="標楷體" w:hint="eastAsia"/>
                <w:color w:val="000000"/>
              </w:rPr>
              <w:t>同學們分組，對公司個案做討論報告，侯老師給予指導與建議。</w:t>
            </w:r>
          </w:p>
        </w:tc>
      </w:tr>
      <w:tr w:rsidR="0009541E" w:rsidRPr="002C2F01" w:rsidTr="004F008D">
        <w:trPr>
          <w:trHeight w:val="454"/>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711923" w:rsidRDefault="00925188" w:rsidP="004F008D">
            <w:pPr>
              <w:ind w:left="360" w:hanging="240"/>
              <w:jc w:val="both"/>
              <w:rPr>
                <w:rFonts w:ascii="標楷體" w:eastAsia="標楷體" w:hAnsi="標楷體"/>
              </w:rPr>
            </w:pPr>
            <w:r>
              <w:rPr>
                <w:rFonts w:ascii="標楷體" w:eastAsia="標楷體" w:hAnsi="標楷體"/>
                <w:noProof/>
              </w:rPr>
              <w:drawing>
                <wp:inline distT="0" distB="0" distL="0" distR="0">
                  <wp:extent cx="3765560" cy="2824378"/>
                  <wp:effectExtent l="19050" t="0" r="6340" b="0"/>
                  <wp:docPr id="5" name="圖片 4" descr="IMG_3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0.JPG"/>
                          <pic:cNvPicPr/>
                        </pic:nvPicPr>
                        <pic:blipFill>
                          <a:blip r:embed="rId8" cstate="print"/>
                          <a:stretch>
                            <a:fillRect/>
                          </a:stretch>
                        </pic:blipFill>
                        <pic:spPr>
                          <a:xfrm>
                            <a:off x="0" y="0"/>
                            <a:ext cx="3763501" cy="2822834"/>
                          </a:xfrm>
                          <a:prstGeom prst="rect">
                            <a:avLst/>
                          </a:prstGeom>
                        </pic:spPr>
                      </pic:pic>
                    </a:graphicData>
                  </a:graphic>
                </wp:inline>
              </w:drawing>
            </w:r>
          </w:p>
        </w:tc>
        <w:tc>
          <w:tcPr>
            <w:tcW w:w="3695" w:type="dxa"/>
            <w:tcBorders>
              <w:left w:val="single" w:sz="4" w:space="0" w:color="auto"/>
              <w:right w:val="single" w:sz="12" w:space="0" w:color="auto"/>
            </w:tcBorders>
            <w:shd w:val="clear" w:color="auto" w:fill="auto"/>
          </w:tcPr>
          <w:p w:rsidR="0009541E" w:rsidRPr="002C2F01" w:rsidRDefault="00B62E40" w:rsidP="004F008D">
            <w:pPr>
              <w:ind w:left="360" w:hanging="240"/>
              <w:jc w:val="both"/>
              <w:rPr>
                <w:rFonts w:ascii="標楷體" w:eastAsia="標楷體" w:hAnsi="標楷體"/>
                <w:color w:val="000000"/>
              </w:rPr>
            </w:pPr>
            <w:r>
              <w:rPr>
                <w:rFonts w:ascii="標楷體" w:eastAsia="標楷體" w:hAnsi="標楷體" w:hint="eastAsia"/>
                <w:color w:val="000000"/>
              </w:rPr>
              <w:t>課用教材PPT。</w:t>
            </w:r>
          </w:p>
        </w:tc>
      </w:tr>
      <w:tr w:rsidR="0009541E" w:rsidRPr="002C2F01" w:rsidTr="004F008D">
        <w:trPr>
          <w:trHeight w:val="454"/>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2C2F01" w:rsidRDefault="00925188" w:rsidP="004F008D">
            <w:pPr>
              <w:ind w:left="360" w:hanging="240"/>
              <w:jc w:val="both"/>
              <w:rPr>
                <w:rFonts w:ascii="標楷體" w:eastAsia="標楷體" w:hAnsi="標楷體"/>
              </w:rPr>
            </w:pPr>
            <w:r>
              <w:rPr>
                <w:rFonts w:ascii="標楷體" w:eastAsia="標楷體" w:hAnsi="標楷體"/>
                <w:noProof/>
              </w:rPr>
              <w:drawing>
                <wp:inline distT="0" distB="0" distL="0" distR="0">
                  <wp:extent cx="3714750" cy="2786267"/>
                  <wp:effectExtent l="19050" t="0" r="0" b="0"/>
                  <wp:docPr id="2" name="圖片 1" descr="IMG_3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3838.JPG"/>
                          <pic:cNvPicPr/>
                        </pic:nvPicPr>
                        <pic:blipFill>
                          <a:blip r:embed="rId9" cstate="print"/>
                          <a:stretch>
                            <a:fillRect/>
                          </a:stretch>
                        </pic:blipFill>
                        <pic:spPr>
                          <a:xfrm>
                            <a:off x="0" y="0"/>
                            <a:ext cx="3715662" cy="2786951"/>
                          </a:xfrm>
                          <a:prstGeom prst="rect">
                            <a:avLst/>
                          </a:prstGeom>
                        </pic:spPr>
                      </pic:pic>
                    </a:graphicData>
                  </a:graphic>
                </wp:inline>
              </w:drawing>
            </w:r>
          </w:p>
        </w:tc>
        <w:tc>
          <w:tcPr>
            <w:tcW w:w="3695" w:type="dxa"/>
            <w:tcBorders>
              <w:left w:val="single" w:sz="4" w:space="0" w:color="auto"/>
              <w:right w:val="single" w:sz="12" w:space="0" w:color="auto"/>
            </w:tcBorders>
            <w:shd w:val="clear" w:color="auto" w:fill="auto"/>
          </w:tcPr>
          <w:p w:rsidR="0009541E" w:rsidRPr="002C2F01" w:rsidRDefault="00B62E40" w:rsidP="00925188">
            <w:pPr>
              <w:ind w:left="360" w:hanging="240"/>
              <w:jc w:val="both"/>
              <w:rPr>
                <w:rFonts w:ascii="標楷體" w:eastAsia="標楷體" w:hAnsi="標楷體"/>
                <w:color w:val="000000"/>
              </w:rPr>
            </w:pPr>
            <w:r>
              <w:rPr>
                <w:rFonts w:ascii="標楷體" w:eastAsia="標楷體" w:hAnsi="標楷體" w:hint="eastAsia"/>
                <w:color w:val="000000"/>
              </w:rPr>
              <w:t>同學與侯州燕老</w:t>
            </w:r>
            <w:r w:rsidR="00925188">
              <w:rPr>
                <w:rFonts w:ascii="標楷體" w:eastAsia="標楷體" w:hAnsi="標楷體" w:hint="eastAsia"/>
                <w:color w:val="000000"/>
              </w:rPr>
              <w:t>Q&amp;A</w:t>
            </w:r>
          </w:p>
        </w:tc>
      </w:tr>
      <w:tr w:rsidR="0009541E" w:rsidRPr="002C2F01" w:rsidTr="004F008D">
        <w:trPr>
          <w:trHeight w:val="454"/>
          <w:jc w:val="center"/>
        </w:trPr>
        <w:tc>
          <w:tcPr>
            <w:tcW w:w="10120" w:type="dxa"/>
            <w:gridSpan w:val="3"/>
            <w:tcBorders>
              <w:left w:val="single" w:sz="12" w:space="0" w:color="auto"/>
              <w:right w:val="single" w:sz="12" w:space="0" w:color="auto"/>
            </w:tcBorders>
            <w:shd w:val="clear" w:color="auto" w:fill="auto"/>
            <w:vAlign w:val="center"/>
          </w:tcPr>
          <w:p w:rsidR="0009541E" w:rsidRPr="002C2F01" w:rsidRDefault="0009541E" w:rsidP="004F008D">
            <w:pPr>
              <w:ind w:left="360" w:hanging="240"/>
              <w:jc w:val="both"/>
              <w:rPr>
                <w:rFonts w:ascii="標楷體" w:eastAsia="標楷體" w:hAnsi="標楷體"/>
                <w:color w:val="000000"/>
              </w:rPr>
            </w:pPr>
            <w:r>
              <w:rPr>
                <w:rFonts w:ascii="Times New Roman" w:eastAsia="標楷體" w:hAnsi="標楷體" w:hint="eastAsia"/>
                <w:b/>
                <w:szCs w:val="24"/>
              </w:rPr>
              <w:t>附註：活動照片請附上原始照片一併回傳</w:t>
            </w:r>
          </w:p>
        </w:tc>
      </w:tr>
      <w:tr w:rsidR="0009541E" w:rsidRPr="002C2F01" w:rsidTr="004F008D">
        <w:trPr>
          <w:trHeight w:val="753"/>
          <w:jc w:val="center"/>
        </w:trPr>
        <w:tc>
          <w:tcPr>
            <w:tcW w:w="1511" w:type="dxa"/>
            <w:vMerge w:val="restart"/>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r>
              <w:rPr>
                <w:rFonts w:ascii="Times New Roman" w:eastAsia="標楷體" w:hAnsi="標楷體" w:hint="eastAsia"/>
                <w:b/>
                <w:szCs w:val="24"/>
              </w:rPr>
              <w:t>附件檔案</w:t>
            </w:r>
          </w:p>
        </w:tc>
        <w:tc>
          <w:tcPr>
            <w:tcW w:w="4914" w:type="dxa"/>
            <w:tcBorders>
              <w:right w:val="single" w:sz="4" w:space="0" w:color="auto"/>
            </w:tcBorders>
            <w:shd w:val="clear" w:color="auto" w:fill="auto"/>
            <w:vAlign w:val="center"/>
          </w:tcPr>
          <w:p w:rsidR="0009541E" w:rsidRDefault="0009541E" w:rsidP="004F008D">
            <w:pPr>
              <w:ind w:left="360" w:hanging="240"/>
              <w:jc w:val="center"/>
              <w:rPr>
                <w:rFonts w:ascii="標楷體" w:eastAsia="標楷體" w:hAnsi="標楷體"/>
                <w:b/>
              </w:rPr>
            </w:pPr>
            <w:r>
              <w:rPr>
                <w:rFonts w:ascii="標楷體" w:eastAsia="標楷體" w:hAnsi="標楷體" w:hint="eastAsia"/>
                <w:b/>
              </w:rPr>
              <w:t>附件檔案名稱</w:t>
            </w:r>
          </w:p>
          <w:p w:rsidR="0009541E" w:rsidRPr="002C2F01" w:rsidRDefault="0009541E" w:rsidP="004F008D">
            <w:pPr>
              <w:ind w:left="360" w:hanging="240"/>
              <w:jc w:val="center"/>
              <w:rPr>
                <w:rFonts w:ascii="標楷體" w:eastAsia="標楷體" w:hAnsi="標楷體"/>
                <w:b/>
              </w:rPr>
            </w:pPr>
            <w:r>
              <w:rPr>
                <w:rFonts w:ascii="標楷體" w:eastAsia="標楷體" w:hAnsi="標楷體" w:hint="eastAsia"/>
                <w:b/>
              </w:rPr>
              <w:t>（請用英數檔名）</w:t>
            </w:r>
          </w:p>
        </w:tc>
        <w:tc>
          <w:tcPr>
            <w:tcW w:w="3695" w:type="dxa"/>
            <w:tcBorders>
              <w:left w:val="single" w:sz="4" w:space="0" w:color="auto"/>
              <w:right w:val="single" w:sz="12" w:space="0" w:color="auto"/>
            </w:tcBorders>
            <w:shd w:val="clear" w:color="auto" w:fill="auto"/>
            <w:vAlign w:val="center"/>
          </w:tcPr>
          <w:p w:rsidR="0009541E" w:rsidRPr="00A339BF" w:rsidRDefault="0009541E" w:rsidP="004F008D">
            <w:pPr>
              <w:ind w:left="360" w:hanging="240"/>
              <w:jc w:val="center"/>
              <w:rPr>
                <w:rFonts w:ascii="標楷體" w:eastAsia="標楷體" w:hAnsi="標楷體"/>
                <w:b/>
              </w:rPr>
            </w:pPr>
            <w:r>
              <w:rPr>
                <w:rFonts w:ascii="標楷體" w:eastAsia="標楷體" w:hAnsi="標楷體" w:hint="eastAsia"/>
                <w:b/>
              </w:rPr>
              <w:t>附件名稱</w:t>
            </w:r>
          </w:p>
        </w:tc>
      </w:tr>
      <w:tr w:rsidR="0009541E" w:rsidRPr="002C2F01" w:rsidTr="004F008D">
        <w:trPr>
          <w:trHeight w:val="454"/>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2C2F01" w:rsidRDefault="0009541E" w:rsidP="004F008D">
            <w:pPr>
              <w:ind w:left="360" w:hanging="240"/>
              <w:jc w:val="both"/>
              <w:rPr>
                <w:rFonts w:ascii="標楷體" w:eastAsia="標楷體" w:hAnsi="標楷體"/>
              </w:rPr>
            </w:pPr>
          </w:p>
        </w:tc>
        <w:tc>
          <w:tcPr>
            <w:tcW w:w="3695" w:type="dxa"/>
            <w:tcBorders>
              <w:left w:val="single" w:sz="4" w:space="0" w:color="auto"/>
              <w:right w:val="single" w:sz="12" w:space="0" w:color="auto"/>
            </w:tcBorders>
            <w:shd w:val="clear" w:color="auto" w:fill="auto"/>
          </w:tcPr>
          <w:p w:rsidR="0009541E" w:rsidRPr="002C2F01" w:rsidRDefault="0009541E" w:rsidP="004F008D">
            <w:pPr>
              <w:ind w:leftChars="99" w:left="238" w:firstLineChars="0" w:firstLine="0"/>
              <w:jc w:val="both"/>
              <w:rPr>
                <w:rFonts w:ascii="標楷體" w:eastAsia="標楷體" w:hAnsi="標楷體"/>
                <w:color w:val="000000"/>
              </w:rPr>
            </w:pPr>
          </w:p>
        </w:tc>
      </w:tr>
      <w:tr w:rsidR="0009541E" w:rsidRPr="002C2F01" w:rsidTr="004F008D">
        <w:trPr>
          <w:trHeight w:val="454"/>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2C2F01" w:rsidRDefault="0009541E" w:rsidP="004F008D">
            <w:pPr>
              <w:ind w:left="360" w:hanging="240"/>
              <w:jc w:val="both"/>
              <w:rPr>
                <w:rFonts w:ascii="標楷體" w:eastAsia="標楷體" w:hAnsi="標楷體"/>
              </w:rPr>
            </w:pPr>
          </w:p>
        </w:tc>
        <w:tc>
          <w:tcPr>
            <w:tcW w:w="3695" w:type="dxa"/>
            <w:tcBorders>
              <w:left w:val="single" w:sz="4" w:space="0" w:color="auto"/>
              <w:right w:val="single" w:sz="12" w:space="0" w:color="auto"/>
            </w:tcBorders>
            <w:shd w:val="clear" w:color="auto" w:fill="auto"/>
          </w:tcPr>
          <w:p w:rsidR="0009541E" w:rsidRPr="002C2F01" w:rsidRDefault="0009541E" w:rsidP="004F008D">
            <w:pPr>
              <w:ind w:leftChars="97" w:left="233" w:firstLineChars="0" w:firstLine="0"/>
              <w:jc w:val="both"/>
              <w:rPr>
                <w:rFonts w:ascii="標楷體" w:eastAsia="標楷體" w:hAnsi="標楷體"/>
                <w:color w:val="000000"/>
              </w:rPr>
            </w:pPr>
          </w:p>
        </w:tc>
      </w:tr>
      <w:tr w:rsidR="0009541E" w:rsidRPr="002C2F01" w:rsidTr="004F008D">
        <w:trPr>
          <w:trHeight w:val="454"/>
          <w:jc w:val="center"/>
        </w:trPr>
        <w:tc>
          <w:tcPr>
            <w:tcW w:w="1511" w:type="dxa"/>
            <w:vMerge/>
            <w:tcBorders>
              <w:left w:val="single" w:sz="12" w:space="0" w:color="auto"/>
            </w:tcBorders>
            <w:shd w:val="clear" w:color="auto" w:fill="auto"/>
            <w:vAlign w:val="center"/>
          </w:tcPr>
          <w:p w:rsidR="0009541E" w:rsidRPr="002C2F01" w:rsidRDefault="0009541E" w:rsidP="004F008D">
            <w:pPr>
              <w:ind w:left="360" w:hanging="240"/>
              <w:jc w:val="center"/>
              <w:rPr>
                <w:rFonts w:ascii="Times New Roman" w:eastAsia="標楷體" w:hAnsi="標楷體"/>
                <w:b/>
                <w:szCs w:val="24"/>
              </w:rPr>
            </w:pPr>
          </w:p>
        </w:tc>
        <w:tc>
          <w:tcPr>
            <w:tcW w:w="4914" w:type="dxa"/>
            <w:tcBorders>
              <w:right w:val="single" w:sz="4" w:space="0" w:color="auto"/>
            </w:tcBorders>
            <w:shd w:val="clear" w:color="auto" w:fill="auto"/>
          </w:tcPr>
          <w:p w:rsidR="0009541E" w:rsidRPr="002C2F01" w:rsidRDefault="0009541E" w:rsidP="004F008D">
            <w:pPr>
              <w:ind w:left="360" w:hanging="240"/>
              <w:jc w:val="both"/>
              <w:rPr>
                <w:rFonts w:ascii="標楷體" w:eastAsia="標楷體" w:hAnsi="標楷體"/>
              </w:rPr>
            </w:pPr>
          </w:p>
        </w:tc>
        <w:tc>
          <w:tcPr>
            <w:tcW w:w="3695" w:type="dxa"/>
            <w:tcBorders>
              <w:left w:val="single" w:sz="4" w:space="0" w:color="auto"/>
              <w:right w:val="single" w:sz="12" w:space="0" w:color="auto"/>
            </w:tcBorders>
            <w:shd w:val="clear" w:color="auto" w:fill="auto"/>
          </w:tcPr>
          <w:p w:rsidR="0009541E" w:rsidRPr="002C2F01" w:rsidRDefault="0009541E" w:rsidP="004F008D">
            <w:pPr>
              <w:ind w:left="161" w:hangingChars="17" w:hanging="41"/>
              <w:jc w:val="both"/>
              <w:rPr>
                <w:rFonts w:ascii="標楷體" w:eastAsia="標楷體" w:hAnsi="標楷體"/>
                <w:color w:val="000000"/>
              </w:rPr>
            </w:pPr>
          </w:p>
        </w:tc>
      </w:tr>
    </w:tbl>
    <w:p w:rsidR="0009541E" w:rsidRPr="00C93D25" w:rsidRDefault="0009541E" w:rsidP="0009541E">
      <w:pPr>
        <w:widowControl/>
        <w:ind w:left="360" w:hanging="240"/>
        <w:rPr>
          <w:rFonts w:ascii="標楷體" w:eastAsia="標楷體" w:hAnsi="標楷體"/>
          <w:szCs w:val="24"/>
        </w:rPr>
      </w:pPr>
    </w:p>
    <w:p w:rsidR="0009541E" w:rsidRDefault="0009541E" w:rsidP="0009541E">
      <w:pPr>
        <w:ind w:left="360" w:hanging="240"/>
      </w:pPr>
    </w:p>
    <w:p w:rsidR="00577423" w:rsidRDefault="00577423" w:rsidP="0009541E">
      <w:pPr>
        <w:ind w:left="360" w:hanging="240"/>
      </w:pPr>
    </w:p>
    <w:sectPr w:rsidR="00577423" w:rsidSect="00B76DB3">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0A76" w:rsidRDefault="00970A76" w:rsidP="00CA0A18">
      <w:pPr>
        <w:ind w:left="360" w:hanging="240"/>
      </w:pPr>
      <w:r>
        <w:separator/>
      </w:r>
    </w:p>
  </w:endnote>
  <w:endnote w:type="continuationSeparator" w:id="1">
    <w:p w:rsidR="00970A76" w:rsidRDefault="00970A76" w:rsidP="00CA0A18">
      <w:pPr>
        <w:ind w:left="360" w:hanging="2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0" w:rsidRDefault="00970A76" w:rsidP="006B6F70">
    <w:pPr>
      <w:pStyle w:val="a5"/>
      <w:ind w:left="320" w:hanging="2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28B" w:rsidRDefault="00E15F5F" w:rsidP="00BD728B">
    <w:pPr>
      <w:pStyle w:val="a5"/>
      <w:ind w:left="320" w:hanging="200"/>
      <w:jc w:val="center"/>
    </w:pPr>
    <w:r>
      <w:fldChar w:fldCharType="begin"/>
    </w:r>
    <w:r w:rsidR="00D84434">
      <w:instrText xml:space="preserve"> PAGE   \* MERGEFORMAT </w:instrText>
    </w:r>
    <w:r>
      <w:fldChar w:fldCharType="separate"/>
    </w:r>
    <w:r w:rsidR="00F93434" w:rsidRPr="00F93434">
      <w:rPr>
        <w:noProof/>
        <w:lang w:val="zh-TW"/>
      </w:rPr>
      <w:t>1</w:t>
    </w:r>
    <w:r>
      <w:fldChar w:fldCharType="end"/>
    </w:r>
  </w:p>
  <w:p w:rsidR="006B6F70" w:rsidRDefault="00970A76" w:rsidP="006B6F70">
    <w:pPr>
      <w:pStyle w:val="a5"/>
      <w:ind w:left="320" w:hanging="2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0" w:rsidRDefault="00970A76" w:rsidP="006B6F70">
    <w:pPr>
      <w:pStyle w:val="a5"/>
      <w:ind w:left="320" w:hanging="2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0A76" w:rsidRDefault="00970A76" w:rsidP="00CA0A18">
      <w:pPr>
        <w:ind w:left="360" w:hanging="240"/>
      </w:pPr>
      <w:r>
        <w:separator/>
      </w:r>
    </w:p>
  </w:footnote>
  <w:footnote w:type="continuationSeparator" w:id="1">
    <w:p w:rsidR="00970A76" w:rsidRDefault="00970A76" w:rsidP="00CA0A18">
      <w:pPr>
        <w:ind w:left="360" w:hanging="2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0" w:rsidRDefault="00970A76" w:rsidP="006B6F70">
    <w:pPr>
      <w:pStyle w:val="a3"/>
      <w:ind w:left="320" w:hanging="2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0" w:rsidRDefault="00970A76" w:rsidP="006B6F70">
    <w:pPr>
      <w:pStyle w:val="a3"/>
      <w:ind w:left="320" w:hanging="2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F70" w:rsidRDefault="00970A76" w:rsidP="006B6F70">
    <w:pPr>
      <w:pStyle w:val="a3"/>
      <w:ind w:left="320" w:hanging="2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541E"/>
    <w:rsid w:val="0003227A"/>
    <w:rsid w:val="00061725"/>
    <w:rsid w:val="0009541E"/>
    <w:rsid w:val="00577423"/>
    <w:rsid w:val="00925188"/>
    <w:rsid w:val="009505FB"/>
    <w:rsid w:val="00970A76"/>
    <w:rsid w:val="00B62E40"/>
    <w:rsid w:val="00B638FC"/>
    <w:rsid w:val="00CA0A18"/>
    <w:rsid w:val="00D34056"/>
    <w:rsid w:val="00D6328F"/>
    <w:rsid w:val="00D84434"/>
    <w:rsid w:val="00E021C5"/>
    <w:rsid w:val="00E15F5F"/>
    <w:rsid w:val="00F9343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41E"/>
    <w:pPr>
      <w:widowControl w:val="0"/>
      <w:ind w:leftChars="50" w:left="150" w:hangingChars="100" w:hanging="10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9541E"/>
    <w:pPr>
      <w:tabs>
        <w:tab w:val="center" w:pos="4153"/>
        <w:tab w:val="right" w:pos="8306"/>
      </w:tabs>
      <w:snapToGrid w:val="0"/>
    </w:pPr>
    <w:rPr>
      <w:kern w:val="0"/>
      <w:sz w:val="20"/>
      <w:szCs w:val="20"/>
    </w:rPr>
  </w:style>
  <w:style w:type="character" w:customStyle="1" w:styleId="a4">
    <w:name w:val="頁首 字元"/>
    <w:basedOn w:val="a0"/>
    <w:link w:val="a3"/>
    <w:uiPriority w:val="99"/>
    <w:semiHidden/>
    <w:rsid w:val="0009541E"/>
    <w:rPr>
      <w:rFonts w:ascii="Calibri" w:eastAsia="新細明體" w:hAnsi="Calibri" w:cs="Times New Roman"/>
      <w:kern w:val="0"/>
      <w:sz w:val="20"/>
      <w:szCs w:val="20"/>
    </w:rPr>
  </w:style>
  <w:style w:type="paragraph" w:styleId="a5">
    <w:name w:val="footer"/>
    <w:basedOn w:val="a"/>
    <w:link w:val="a6"/>
    <w:uiPriority w:val="99"/>
    <w:unhideWhenUsed/>
    <w:rsid w:val="0009541E"/>
    <w:pPr>
      <w:tabs>
        <w:tab w:val="center" w:pos="4153"/>
        <w:tab w:val="right" w:pos="8306"/>
      </w:tabs>
      <w:snapToGrid w:val="0"/>
    </w:pPr>
    <w:rPr>
      <w:kern w:val="0"/>
      <w:sz w:val="20"/>
      <w:szCs w:val="20"/>
    </w:rPr>
  </w:style>
  <w:style w:type="character" w:customStyle="1" w:styleId="a6">
    <w:name w:val="頁尾 字元"/>
    <w:basedOn w:val="a0"/>
    <w:link w:val="a5"/>
    <w:uiPriority w:val="99"/>
    <w:rsid w:val="0009541E"/>
    <w:rPr>
      <w:rFonts w:ascii="Calibri" w:eastAsia="新細明體" w:hAnsi="Calibri" w:cs="Times New Roman"/>
      <w:kern w:val="0"/>
      <w:sz w:val="20"/>
      <w:szCs w:val="20"/>
    </w:rPr>
  </w:style>
  <w:style w:type="paragraph" w:customStyle="1" w:styleId="Default">
    <w:name w:val="Default"/>
    <w:rsid w:val="0009541E"/>
    <w:pPr>
      <w:widowControl w:val="0"/>
      <w:autoSpaceDE w:val="0"/>
      <w:autoSpaceDN w:val="0"/>
      <w:adjustRightInd w:val="0"/>
    </w:pPr>
    <w:rPr>
      <w:rFonts w:ascii="標楷體.│..." w:eastAsia="標楷體.│..." w:hAnsi="Calibri" w:cs="標楷體.│..."/>
      <w:color w:val="000000"/>
      <w:kern w:val="0"/>
      <w:szCs w:val="24"/>
    </w:rPr>
  </w:style>
  <w:style w:type="paragraph" w:styleId="a7">
    <w:name w:val="Balloon Text"/>
    <w:basedOn w:val="a"/>
    <w:link w:val="a8"/>
    <w:uiPriority w:val="99"/>
    <w:semiHidden/>
    <w:unhideWhenUsed/>
    <w:rsid w:val="0006172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61725"/>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632F5-EBD2-44A2-9F1E-63414B9AB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355</Words>
  <Characters>2029</Characters>
  <Application>Microsoft Office Word</Application>
  <DocSecurity>0</DocSecurity>
  <Lines>16</Lines>
  <Paragraphs>4</Paragraphs>
  <ScaleCrop>false</ScaleCrop>
  <Company>Toshiba</Company>
  <LinksUpToDate>false</LinksUpToDate>
  <CharactersWithSpaces>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yuhhuang</dc:creator>
  <cp:lastModifiedBy>jackson yao</cp:lastModifiedBy>
  <cp:revision>4</cp:revision>
  <dcterms:created xsi:type="dcterms:W3CDTF">2014-05-18T13:20:00Z</dcterms:created>
  <dcterms:modified xsi:type="dcterms:W3CDTF">2014-05-18T13:46:00Z</dcterms:modified>
</cp:coreProperties>
</file>