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102</w:t>
      </w:r>
      <w:r>
        <w:rPr>
          <w:rFonts w:ascii="Times New Roman" w:eastAsia="標楷體" w:hAnsi="標楷體" w:hint="eastAsia"/>
          <w:b/>
          <w:sz w:val="32"/>
          <w:szCs w:val="32"/>
        </w:rPr>
        <w:t>年度獎勵大學教學卓越計畫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125"/>
        <w:gridCol w:w="4465"/>
      </w:tblGrid>
      <w:tr w:rsidR="005154D4" w:rsidRPr="001C1E24" w:rsidTr="00EA1706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3652E" w:rsidRDefault="000927F1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H計畫</w:t>
            </w:r>
          </w:p>
        </w:tc>
      </w:tr>
      <w:tr w:rsidR="005154D4" w:rsidRPr="001C1E24" w:rsidTr="00EA1706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927F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業師講座</w:t>
            </w:r>
          </w:p>
        </w:tc>
      </w:tr>
      <w:tr w:rsidR="005154D4" w:rsidRPr="001C1E24" w:rsidTr="00EA1706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16514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資產管理實務</w:t>
            </w:r>
          </w:p>
        </w:tc>
      </w:tr>
      <w:tr w:rsidR="005154D4" w:rsidRPr="001C1E24" w:rsidTr="001A6360">
        <w:trPr>
          <w:trHeight w:val="605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B36711" w:rsidRDefault="005154D4" w:rsidP="00B36711">
            <w:pPr>
              <w:ind w:left="360" w:hanging="240"/>
              <w:jc w:val="both"/>
              <w:rPr>
                <w:rFonts w:eastAsia="標楷體"/>
              </w:rPr>
            </w:pPr>
            <w:r w:rsidRPr="00B36711">
              <w:rPr>
                <w:rFonts w:eastAsia="標楷體" w:hint="eastAsia"/>
              </w:rPr>
              <w:t>內容</w:t>
            </w:r>
          </w:p>
          <w:p w:rsidR="005154D4" w:rsidRPr="00B36711" w:rsidRDefault="005154D4" w:rsidP="00B36711">
            <w:pPr>
              <w:ind w:left="360" w:hanging="240"/>
              <w:jc w:val="both"/>
              <w:rPr>
                <w:rFonts w:eastAsia="標楷體"/>
              </w:rPr>
            </w:pPr>
            <w:r w:rsidRPr="00B36711">
              <w:rPr>
                <w:rFonts w:eastAsia="標楷體" w:hint="eastAsia"/>
              </w:rPr>
              <w:t>（活動內容簡述</w:t>
            </w:r>
            <w:r w:rsidRPr="00B36711">
              <w:rPr>
                <w:rFonts w:eastAsia="標楷體" w:hint="eastAsia"/>
              </w:rPr>
              <w:t>/</w:t>
            </w:r>
            <w:r w:rsidRPr="00B36711">
              <w:rPr>
                <w:rFonts w:eastAsia="標楷體" w:hint="eastAsia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B367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51875">
              <w:rPr>
                <w:rFonts w:eastAsia="標楷體" w:hint="eastAsia"/>
              </w:rPr>
              <w:t>財務金融學系</w:t>
            </w:r>
          </w:p>
          <w:p w:rsidR="00614B1C" w:rsidRDefault="005154D4" w:rsidP="00614B1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70E19">
              <w:rPr>
                <w:rFonts w:eastAsia="標楷體"/>
              </w:rPr>
              <w:t>5</w:t>
            </w:r>
            <w:r w:rsidR="00651875">
              <w:rPr>
                <w:rFonts w:eastAsia="標楷體" w:hint="eastAsia"/>
              </w:rPr>
              <w:t>月</w:t>
            </w:r>
            <w:r w:rsidR="00165140">
              <w:rPr>
                <w:rFonts w:eastAsia="標楷體" w:hint="eastAsia"/>
              </w:rPr>
              <w:t>12</w:t>
            </w:r>
            <w:r w:rsidR="00651875">
              <w:rPr>
                <w:rFonts w:eastAsia="標楷體" w:hint="eastAsia"/>
              </w:rPr>
              <w:t>日</w:t>
            </w:r>
            <w:r w:rsidR="00614B1C">
              <w:rPr>
                <w:rFonts w:eastAsia="標楷體" w:hint="eastAsia"/>
              </w:rPr>
              <w:t xml:space="preserve"> </w:t>
            </w:r>
            <w:r w:rsidR="00614B1C">
              <w:rPr>
                <w:rFonts w:eastAsia="標楷體" w:hint="eastAsia"/>
              </w:rPr>
              <w:t>13:00-1</w:t>
            </w:r>
            <w:r w:rsidR="00614B1C">
              <w:rPr>
                <w:rFonts w:eastAsia="標楷體"/>
              </w:rPr>
              <w:t>6</w:t>
            </w:r>
            <w:r w:rsidR="00614B1C">
              <w:rPr>
                <w:rFonts w:eastAsia="標楷體" w:hint="eastAsia"/>
              </w:rPr>
              <w:t>:00</w:t>
            </w:r>
          </w:p>
          <w:p w:rsidR="005154D4" w:rsidRDefault="005154D4" w:rsidP="00B367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165140">
              <w:rPr>
                <w:rFonts w:eastAsia="標楷體" w:hint="eastAsia"/>
              </w:rPr>
              <w:t>大恩</w:t>
            </w:r>
            <w:r w:rsidR="00BE7691">
              <w:rPr>
                <w:rFonts w:eastAsia="標楷體" w:hint="eastAsia"/>
              </w:rPr>
              <w:t>70</w:t>
            </w:r>
            <w:r w:rsidR="00165140">
              <w:rPr>
                <w:rFonts w:eastAsia="標楷體"/>
              </w:rPr>
              <w:t>6</w:t>
            </w:r>
            <w:r w:rsidR="00651875">
              <w:rPr>
                <w:rFonts w:eastAsia="標楷體" w:hint="eastAsia"/>
              </w:rPr>
              <w:t>教室</w:t>
            </w:r>
          </w:p>
          <w:p w:rsidR="005154D4" w:rsidRDefault="005154D4" w:rsidP="00B367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165140" w:rsidRPr="00B36711">
              <w:rPr>
                <w:rFonts w:eastAsia="標楷體" w:hint="eastAsia"/>
              </w:rPr>
              <w:t>楊斯淵</w:t>
            </w:r>
            <w:r w:rsidR="00165140" w:rsidRPr="00B36711">
              <w:rPr>
                <w:rFonts w:eastAsia="標楷體" w:hint="eastAsia"/>
              </w:rPr>
              <w:t xml:space="preserve"> </w:t>
            </w:r>
            <w:r w:rsidR="00165140" w:rsidRPr="00B36711">
              <w:rPr>
                <w:rFonts w:eastAsia="標楷體" w:hint="eastAsia"/>
              </w:rPr>
              <w:t>副總經理</w:t>
            </w:r>
          </w:p>
          <w:p w:rsidR="005154D4" w:rsidRDefault="005154D4" w:rsidP="00B367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B36711">
              <w:rPr>
                <w:rFonts w:eastAsia="標楷體" w:hint="eastAsia"/>
              </w:rPr>
              <w:t xml:space="preserve"> </w:t>
            </w:r>
            <w:r w:rsidR="00165140" w:rsidRPr="00B36711">
              <w:rPr>
                <w:rFonts w:eastAsia="標楷體" w:hint="eastAsia"/>
              </w:rPr>
              <w:t>14</w:t>
            </w:r>
            <w:r w:rsidRPr="00B3671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651875" w:rsidRPr="00B36711">
              <w:rPr>
                <w:rFonts w:eastAsia="標楷體" w:hint="eastAsia"/>
              </w:rPr>
              <w:t xml:space="preserve"> 2</w:t>
            </w:r>
            <w:r w:rsidRPr="00B3671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B36711">
              <w:rPr>
                <w:rFonts w:eastAsia="標楷體" w:hint="eastAsia"/>
              </w:rPr>
              <w:t xml:space="preserve"> </w:t>
            </w:r>
            <w:r w:rsidR="00165140" w:rsidRPr="00B36711">
              <w:rPr>
                <w:rFonts w:eastAsia="標楷體" w:hint="eastAsia"/>
              </w:rPr>
              <w:t>12</w:t>
            </w:r>
            <w:r w:rsidRPr="00B3671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B36711">
              <w:rPr>
                <w:rFonts w:eastAsia="標楷體" w:hint="eastAsia"/>
              </w:rPr>
              <w:t xml:space="preserve"> </w:t>
            </w:r>
            <w:r w:rsidR="00651875" w:rsidRPr="00B36711">
              <w:rPr>
                <w:rFonts w:eastAsia="標楷體" w:hint="eastAsia"/>
              </w:rPr>
              <w:t>0</w:t>
            </w:r>
            <w:r w:rsidRPr="00B3671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B36711">
              <w:rPr>
                <w:rFonts w:eastAsia="標楷體" w:hint="eastAsia"/>
              </w:rPr>
              <w:t xml:space="preserve"> </w:t>
            </w:r>
            <w:r w:rsidR="00651875" w:rsidRPr="00B36711">
              <w:rPr>
                <w:rFonts w:eastAsia="標楷體" w:hint="eastAsia"/>
              </w:rPr>
              <w:t>0</w:t>
            </w:r>
            <w:r w:rsidRPr="00B3671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A97F19" w:rsidRPr="00B36711" w:rsidRDefault="005154D4" w:rsidP="00B36711">
            <w:pPr>
              <w:ind w:leftChars="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A97F19" w:rsidRPr="00B36711">
              <w:rPr>
                <w:rFonts w:eastAsia="標楷體"/>
              </w:rPr>
              <w:t xml:space="preserve"> </w:t>
            </w:r>
          </w:p>
          <w:p w:rsidR="006238EC" w:rsidRPr="006238EC" w:rsidRDefault="006238EC" w:rsidP="00B36711">
            <w:pPr>
              <w:ind w:left="360" w:hanging="240"/>
              <w:jc w:val="both"/>
              <w:rPr>
                <w:rFonts w:eastAsia="標楷體"/>
              </w:rPr>
            </w:pPr>
            <w:r w:rsidRPr="006238EC">
              <w:rPr>
                <w:rFonts w:eastAsia="標楷體" w:hint="eastAsia"/>
              </w:rPr>
              <w:t>投資流程是每個專業投資機構的致勝關鍵。</w:t>
            </w:r>
          </w:p>
          <w:p w:rsidR="001A6360" w:rsidRPr="006238EC" w:rsidRDefault="006238EC" w:rsidP="00B36711">
            <w:pPr>
              <w:ind w:left="360" w:hanging="240"/>
              <w:jc w:val="both"/>
              <w:rPr>
                <w:rFonts w:eastAsia="標楷體"/>
              </w:rPr>
            </w:pPr>
            <w:r w:rsidRPr="006238EC">
              <w:rPr>
                <w:rFonts w:eastAsia="標楷體" w:hint="eastAsia"/>
              </w:rPr>
              <w:t>投資分析</w:t>
            </w:r>
            <w:r w:rsidRPr="006238EC">
              <w:rPr>
                <w:rFonts w:eastAsia="標楷體"/>
              </w:rPr>
              <w:t>(</w:t>
            </w:r>
            <w:r w:rsidRPr="006238EC">
              <w:rPr>
                <w:rFonts w:eastAsia="標楷體" w:hint="eastAsia"/>
              </w:rPr>
              <w:t>經理人</w:t>
            </w:r>
            <w:r w:rsidRPr="006238EC">
              <w:rPr>
                <w:rFonts w:eastAsia="標楷體"/>
              </w:rPr>
              <w:t>/</w:t>
            </w:r>
            <w:r w:rsidRPr="006238EC">
              <w:rPr>
                <w:rFonts w:eastAsia="標楷體" w:hint="eastAsia"/>
              </w:rPr>
              <w:t>研究員</w:t>
            </w:r>
            <w:r w:rsidRPr="006238EC">
              <w:rPr>
                <w:rFonts w:eastAsia="標楷體"/>
              </w:rPr>
              <w:t>)</w:t>
            </w:r>
          </w:p>
          <w:p w:rsidR="006238EC" w:rsidRPr="006238EC" w:rsidRDefault="006238EC" w:rsidP="00B36711">
            <w:pPr>
              <w:ind w:left="360" w:hanging="240"/>
              <w:jc w:val="both"/>
              <w:rPr>
                <w:rFonts w:eastAsia="標楷體"/>
              </w:rPr>
            </w:pPr>
            <w:r w:rsidRPr="006238EC">
              <w:rPr>
                <w:rFonts w:eastAsia="標楷體"/>
              </w:rPr>
              <w:t xml:space="preserve">1. </w:t>
            </w:r>
            <w:r w:rsidRPr="006238EC">
              <w:rPr>
                <w:rFonts w:eastAsia="標楷體" w:hint="eastAsia"/>
              </w:rPr>
              <w:t>資訊蒐集</w:t>
            </w:r>
          </w:p>
          <w:p w:rsidR="006238EC" w:rsidRPr="006238EC" w:rsidRDefault="006238EC" w:rsidP="00B36711">
            <w:pPr>
              <w:ind w:leftChars="0" w:firstLineChars="0" w:firstLine="0"/>
              <w:jc w:val="both"/>
              <w:rPr>
                <w:rFonts w:eastAsia="標楷體"/>
              </w:rPr>
            </w:pPr>
            <w:r w:rsidRPr="006238EC">
              <w:rPr>
                <w:rFonts w:eastAsia="標楷體"/>
              </w:rPr>
              <w:t>2.</w:t>
            </w:r>
            <w:r w:rsidRPr="006238EC">
              <w:rPr>
                <w:rFonts w:eastAsia="標楷體" w:hint="eastAsia"/>
              </w:rPr>
              <w:t xml:space="preserve"> </w:t>
            </w:r>
            <w:r w:rsidRPr="006238EC">
              <w:rPr>
                <w:rFonts w:eastAsia="標楷體" w:hint="eastAsia"/>
              </w:rPr>
              <w:t>歸納整理</w:t>
            </w:r>
          </w:p>
          <w:p w:rsidR="006238EC" w:rsidRPr="006238EC" w:rsidRDefault="006238EC" w:rsidP="00B36711">
            <w:pPr>
              <w:ind w:leftChars="0" w:firstLineChars="0" w:firstLine="0"/>
              <w:jc w:val="both"/>
              <w:rPr>
                <w:rFonts w:eastAsia="標楷體"/>
              </w:rPr>
            </w:pPr>
            <w:r w:rsidRPr="006238EC">
              <w:rPr>
                <w:rFonts w:eastAsia="標楷體"/>
              </w:rPr>
              <w:t xml:space="preserve">3. </w:t>
            </w:r>
            <w:r w:rsidRPr="006238EC">
              <w:rPr>
                <w:rFonts w:eastAsia="標楷體" w:hint="eastAsia"/>
              </w:rPr>
              <w:t>數據判讀</w:t>
            </w:r>
            <w:r w:rsidRPr="006238EC">
              <w:rPr>
                <w:rFonts w:eastAsia="標楷體" w:hint="eastAsia"/>
              </w:rPr>
              <w:t>(</w:t>
            </w:r>
            <w:r w:rsidRPr="006238EC">
              <w:rPr>
                <w:rFonts w:eastAsia="標楷體" w:hint="eastAsia"/>
              </w:rPr>
              <w:t>經驗</w:t>
            </w:r>
            <w:r w:rsidRPr="006238EC">
              <w:rPr>
                <w:rFonts w:eastAsia="標楷體"/>
              </w:rPr>
              <w:t xml:space="preserve"> &amp;</w:t>
            </w:r>
            <w:r w:rsidRPr="006238EC">
              <w:rPr>
                <w:rFonts w:eastAsia="標楷體" w:hint="eastAsia"/>
              </w:rPr>
              <w:t>歷史法則</w:t>
            </w:r>
            <w:r w:rsidRPr="006238EC">
              <w:rPr>
                <w:rFonts w:eastAsia="標楷體" w:hint="eastAsia"/>
              </w:rPr>
              <w:t>)</w:t>
            </w:r>
          </w:p>
          <w:p w:rsidR="006238EC" w:rsidRPr="006238EC" w:rsidRDefault="006238EC" w:rsidP="00B36711">
            <w:pPr>
              <w:ind w:leftChars="0" w:firstLineChars="0" w:firstLine="0"/>
              <w:jc w:val="both"/>
              <w:rPr>
                <w:rFonts w:eastAsia="標楷體"/>
              </w:rPr>
            </w:pPr>
            <w:r w:rsidRPr="006238EC">
              <w:rPr>
                <w:rFonts w:eastAsia="標楷體"/>
              </w:rPr>
              <w:t xml:space="preserve">4. </w:t>
            </w:r>
            <w:r w:rsidRPr="006238EC">
              <w:rPr>
                <w:rFonts w:eastAsia="標楷體" w:hint="eastAsia"/>
              </w:rPr>
              <w:t>投資判斷</w:t>
            </w:r>
            <w:r>
              <w:rPr>
                <w:rFonts w:eastAsia="標楷體" w:hint="eastAsia"/>
              </w:rPr>
              <w:t>(</w:t>
            </w:r>
            <w:r w:rsidRPr="006238EC">
              <w:rPr>
                <w:rFonts w:eastAsia="標楷體" w:hint="eastAsia"/>
              </w:rPr>
              <w:t>長期</w:t>
            </w:r>
            <w:r w:rsidRPr="00B36711">
              <w:rPr>
                <w:rFonts w:eastAsia="標楷體" w:hint="eastAsia"/>
              </w:rPr>
              <w:t>、</w:t>
            </w:r>
            <w:r w:rsidRPr="006238EC">
              <w:rPr>
                <w:rFonts w:eastAsia="標楷體" w:hint="eastAsia"/>
              </w:rPr>
              <w:t>中期、短期</w:t>
            </w:r>
            <w:r>
              <w:rPr>
                <w:rFonts w:eastAsia="標楷體" w:hint="eastAsia"/>
              </w:rPr>
              <w:t>)</w:t>
            </w:r>
          </w:p>
          <w:p w:rsidR="006238EC" w:rsidRDefault="007F3CD1" w:rsidP="00B36711">
            <w:pPr>
              <w:ind w:left="360" w:hanging="240"/>
              <w:jc w:val="both"/>
              <w:rPr>
                <w:rFonts w:eastAsia="標楷體"/>
              </w:rPr>
            </w:pPr>
            <w:r w:rsidRPr="007F3CD1">
              <w:rPr>
                <w:rFonts w:eastAsia="標楷體" w:hint="eastAsia"/>
              </w:rPr>
              <w:t>國內財富管理基金業務分類</w:t>
            </w:r>
          </w:p>
          <w:p w:rsidR="00BD43D7" w:rsidRPr="00B36711" w:rsidRDefault="00BD43D7" w:rsidP="00B36711">
            <w:pPr>
              <w:pStyle w:val="Default"/>
              <w:ind w:left="320" w:hanging="200"/>
              <w:jc w:val="both"/>
              <w:rPr>
                <w:rFonts w:asciiTheme="minorHAnsi" w:eastAsia="標楷體" w:cstheme="minorBidi"/>
                <w:color w:val="auto"/>
                <w:kern w:val="2"/>
                <w:szCs w:val="22"/>
              </w:rPr>
            </w:pPr>
          </w:p>
          <w:p w:rsidR="00BD43D7" w:rsidRDefault="00BD43D7" w:rsidP="00B36711">
            <w:pPr>
              <w:ind w:left="360" w:hanging="240"/>
              <w:jc w:val="both"/>
              <w:rPr>
                <w:rFonts w:eastAsia="標楷體"/>
              </w:rPr>
            </w:pPr>
            <w:r w:rsidRPr="00BD43D7">
              <w:rPr>
                <w:rFonts w:eastAsia="標楷體" w:hint="eastAsia"/>
              </w:rPr>
              <w:t>一般財富管理</w:t>
            </w:r>
          </w:p>
          <w:p w:rsidR="00BD43D7" w:rsidRPr="00BD43D7" w:rsidRDefault="00BD43D7" w:rsidP="00B36711">
            <w:pPr>
              <w:ind w:left="360" w:hanging="240"/>
              <w:jc w:val="both"/>
              <w:rPr>
                <w:rFonts w:eastAsia="標楷體"/>
              </w:rPr>
            </w:pPr>
            <w:r w:rsidRPr="00BD43D7">
              <w:rPr>
                <w:rFonts w:eastAsia="標楷體" w:hint="eastAsia"/>
              </w:rPr>
              <w:t>境內基金</w:t>
            </w:r>
            <w:r w:rsidRPr="00BD43D7">
              <w:rPr>
                <w:rFonts w:eastAsia="標楷體" w:hint="eastAsia"/>
              </w:rPr>
              <w:t>(</w:t>
            </w:r>
            <w:r w:rsidRPr="00BD43D7">
              <w:rPr>
                <w:rFonts w:eastAsia="標楷體" w:hint="eastAsia"/>
              </w:rPr>
              <w:t>國內投信</w:t>
            </w:r>
            <w:r w:rsidRPr="00BD43D7">
              <w:rPr>
                <w:rFonts w:eastAsia="標楷體" w:hint="eastAsia"/>
              </w:rPr>
              <w:t>)</w:t>
            </w:r>
          </w:p>
          <w:p w:rsidR="00BD43D7" w:rsidRPr="00BD43D7" w:rsidRDefault="00BD43D7" w:rsidP="00B36711">
            <w:pPr>
              <w:ind w:left="360" w:hanging="240"/>
              <w:jc w:val="both"/>
              <w:rPr>
                <w:rFonts w:eastAsia="標楷體"/>
              </w:rPr>
            </w:pPr>
            <w:r w:rsidRPr="00BD43D7">
              <w:rPr>
                <w:rFonts w:eastAsia="標楷體" w:hint="eastAsia"/>
              </w:rPr>
              <w:t>境外基金總代理</w:t>
            </w:r>
            <w:r w:rsidRPr="00BD43D7">
              <w:rPr>
                <w:rFonts w:eastAsia="標楷體" w:hint="eastAsia"/>
              </w:rPr>
              <w:t>(</w:t>
            </w:r>
            <w:r w:rsidRPr="00BD43D7">
              <w:rPr>
                <w:rFonts w:eastAsia="標楷體" w:hint="eastAsia"/>
              </w:rPr>
              <w:t>投信、投顧</w:t>
            </w:r>
            <w:r w:rsidRPr="00BD43D7">
              <w:rPr>
                <w:rFonts w:eastAsia="標楷體" w:hint="eastAsia"/>
              </w:rPr>
              <w:t>)</w:t>
            </w:r>
          </w:p>
          <w:p w:rsidR="00BD43D7" w:rsidRPr="00BD43D7" w:rsidRDefault="00BD43D7" w:rsidP="00B367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BD43D7">
              <w:rPr>
                <w:rFonts w:eastAsia="標楷體" w:hint="eastAsia"/>
              </w:rPr>
              <w:t>其他通路</w:t>
            </w:r>
            <w:r w:rsidRPr="00B36711">
              <w:rPr>
                <w:rFonts w:eastAsia="標楷體" w:hint="eastAsia"/>
              </w:rPr>
              <w:t>、</w:t>
            </w:r>
            <w:r w:rsidRPr="00BD43D7">
              <w:rPr>
                <w:rFonts w:eastAsia="標楷體" w:hint="eastAsia"/>
              </w:rPr>
              <w:t>證券</w:t>
            </w:r>
            <w:r w:rsidRPr="00B36711">
              <w:rPr>
                <w:rFonts w:eastAsia="標楷體" w:hint="eastAsia"/>
              </w:rPr>
              <w:t>、</w:t>
            </w:r>
            <w:r w:rsidRPr="00BD43D7">
              <w:rPr>
                <w:rFonts w:eastAsia="標楷體" w:hint="eastAsia"/>
              </w:rPr>
              <w:t>保險</w:t>
            </w:r>
          </w:p>
          <w:p w:rsidR="00BD43D7" w:rsidRPr="00BD43D7" w:rsidRDefault="00BD43D7" w:rsidP="00B367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BD43D7">
              <w:rPr>
                <w:rFonts w:eastAsia="標楷體" w:hint="eastAsia"/>
              </w:rPr>
              <w:t xml:space="preserve"> </w:t>
            </w:r>
            <w:r w:rsidRPr="00BD43D7">
              <w:rPr>
                <w:rFonts w:eastAsia="標楷體" w:hint="eastAsia"/>
              </w:rPr>
              <w:t>銀行財富管理</w:t>
            </w:r>
          </w:p>
          <w:p w:rsidR="00BD43D7" w:rsidRPr="00BD43D7" w:rsidRDefault="00BD43D7" w:rsidP="00B367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BD43D7">
              <w:rPr>
                <w:rFonts w:eastAsia="標楷體" w:hint="eastAsia"/>
              </w:rPr>
              <w:t xml:space="preserve"> </w:t>
            </w:r>
            <w:r w:rsidRPr="00BD43D7">
              <w:rPr>
                <w:rFonts w:eastAsia="標楷體" w:hint="eastAsia"/>
              </w:rPr>
              <w:t>投信</w:t>
            </w:r>
            <w:r w:rsidRPr="00BD43D7">
              <w:rPr>
                <w:rFonts w:eastAsia="標楷體" w:hint="eastAsia"/>
              </w:rPr>
              <w:t>D/S</w:t>
            </w:r>
          </w:p>
          <w:p w:rsidR="00BD43D7" w:rsidRPr="00BD43D7" w:rsidRDefault="00BD43D7" w:rsidP="00B36711">
            <w:pPr>
              <w:ind w:left="360" w:hanging="240"/>
              <w:jc w:val="both"/>
              <w:rPr>
                <w:rFonts w:eastAsia="標楷體"/>
              </w:rPr>
            </w:pPr>
            <w:r w:rsidRPr="00B36711">
              <w:rPr>
                <w:rFonts w:eastAsia="標楷體" w:hint="eastAsia"/>
              </w:rPr>
              <w:t>→向</w:t>
            </w:r>
            <w:r w:rsidRPr="00BD43D7">
              <w:rPr>
                <w:rFonts w:eastAsia="標楷體" w:hint="eastAsia"/>
              </w:rPr>
              <w:t>投資人公開招募業務</w:t>
            </w:r>
          </w:p>
          <w:p w:rsidR="00BD43D7" w:rsidRDefault="00BD43D7" w:rsidP="00B36711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DD0790" w:rsidRPr="00DD0790" w:rsidRDefault="00DD0790" w:rsidP="00B36711">
            <w:pPr>
              <w:ind w:left="360" w:hanging="240"/>
              <w:jc w:val="both"/>
              <w:rPr>
                <w:rFonts w:eastAsia="標楷體"/>
              </w:rPr>
            </w:pPr>
            <w:r w:rsidRPr="00DD0790">
              <w:rPr>
                <w:rFonts w:eastAsia="標楷體"/>
              </w:rPr>
              <w:t>總體經濟與金融市場的連結</w:t>
            </w:r>
          </w:p>
          <w:p w:rsidR="00DD0790" w:rsidRPr="00DD0790" w:rsidRDefault="00DD0790" w:rsidP="00B36711">
            <w:pPr>
              <w:ind w:left="360" w:hanging="240"/>
              <w:jc w:val="both"/>
              <w:rPr>
                <w:rFonts w:eastAsia="標楷體"/>
              </w:rPr>
            </w:pPr>
            <w:r w:rsidRPr="00DD0790">
              <w:rPr>
                <w:rFonts w:eastAsia="標楷體" w:hint="eastAsia"/>
              </w:rPr>
              <w:t>經濟數據對金融市場的影響性</w:t>
            </w:r>
          </w:p>
          <w:p w:rsidR="00DD0790" w:rsidRPr="00B36711" w:rsidRDefault="00DD0790" w:rsidP="00B3671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主要金融市場</w:t>
            </w:r>
            <w:r w:rsidRPr="00B36711">
              <w:rPr>
                <w:rFonts w:asciiTheme="minorHAnsi" w:eastAsia="標楷體" w:hAnsiTheme="minorHAnsi" w:cstheme="minorBidi"/>
                <w:kern w:val="2"/>
                <w:szCs w:val="22"/>
              </w:rPr>
              <w:t>: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包含股</w:t>
            </w:r>
            <w:r w:rsidRPr="00B36711">
              <w:rPr>
                <w:rFonts w:asciiTheme="minorHAnsi" w:eastAsia="標楷體" w:hAnsiTheme="minorHAnsi" w:cstheme="minorBidi"/>
                <w:kern w:val="2"/>
                <w:szCs w:val="22"/>
              </w:rPr>
              <w:t>,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債</w:t>
            </w:r>
            <w:r w:rsidRPr="00B36711">
              <w:rPr>
                <w:rFonts w:asciiTheme="minorHAnsi" w:eastAsia="標楷體" w:hAnsiTheme="minorHAnsi" w:cstheme="minorBidi"/>
                <w:kern w:val="2"/>
                <w:szCs w:val="22"/>
              </w:rPr>
              <w:t>,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匯</w:t>
            </w:r>
            <w:r w:rsidRPr="00B36711">
              <w:rPr>
                <w:rFonts w:asciiTheme="minorHAnsi" w:eastAsia="標楷體" w:hAnsiTheme="minorHAnsi" w:cstheme="minorBidi"/>
                <w:kern w:val="2"/>
                <w:szCs w:val="22"/>
              </w:rPr>
              <w:t>,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商品市場幾乎都會受到總經數字的影響</w:t>
            </w:r>
            <w:r w:rsidRPr="00B36711">
              <w:rPr>
                <w:rFonts w:asciiTheme="minorHAnsi" w:eastAsia="標楷體" w:hAnsiTheme="minorHAnsi" w:cstheme="minorBidi"/>
                <w:kern w:val="2"/>
                <w:szCs w:val="22"/>
              </w:rPr>
              <w:t>,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價格波動的主因來自於市場預期與實際公佈值的落差</w:t>
            </w:r>
          </w:p>
          <w:p w:rsidR="00DD0790" w:rsidRPr="00B36711" w:rsidRDefault="00DD0790" w:rsidP="00B3671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主要成熟國家的總經數據對其債匯市多有高度的關聯度</w:t>
            </w:r>
            <w:r w:rsidRPr="00B36711">
              <w:rPr>
                <w:rFonts w:asciiTheme="minorHAnsi" w:eastAsia="標楷體" w:hAnsiTheme="minorHAnsi" w:cstheme="minorBidi"/>
                <w:kern w:val="2"/>
                <w:szCs w:val="22"/>
              </w:rPr>
              <w:t>,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惟部份外匯管制國家</w:t>
            </w:r>
            <w:r w:rsidRPr="00B36711">
              <w:rPr>
                <w:rFonts w:asciiTheme="minorHAnsi" w:eastAsia="標楷體" w:hAnsiTheme="minorHAnsi" w:cstheme="minorBidi"/>
                <w:kern w:val="2"/>
                <w:szCs w:val="22"/>
              </w:rPr>
              <w:t>,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由於資本市場淺碟且封閉</w:t>
            </w:r>
            <w:r w:rsidRPr="00B36711">
              <w:rPr>
                <w:rFonts w:asciiTheme="minorHAnsi" w:eastAsia="標楷體" w:hAnsiTheme="minorHAnsi" w:cstheme="minorBidi"/>
                <w:kern w:val="2"/>
                <w:szCs w:val="22"/>
              </w:rPr>
              <w:t>,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總經數據表現與金融市場的關聯度就不高</w:t>
            </w:r>
          </w:p>
          <w:p w:rsidR="00DD0790" w:rsidRPr="00DD0790" w:rsidRDefault="00DD0790" w:rsidP="00B36711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DD0790" w:rsidRDefault="00B36711" w:rsidP="00B367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CASE STUDY:</w:t>
            </w:r>
            <w:r w:rsidRPr="00B36711">
              <w:rPr>
                <w:rFonts w:eastAsia="標楷體" w:hint="eastAsia"/>
              </w:rPr>
              <w:t>舉總經研究員作品為例</w:t>
            </w:r>
            <w:r w:rsidRPr="00B36711">
              <w:rPr>
                <w:rFonts w:eastAsia="標楷體"/>
              </w:rPr>
              <w:t xml:space="preserve"> </w:t>
            </w:r>
            <w:r w:rsidRPr="00B36711">
              <w:rPr>
                <w:rFonts w:eastAsia="標楷體" w:hint="eastAsia"/>
              </w:rPr>
              <w:t>近期中國人民幣貶值專題研究</w:t>
            </w:r>
          </w:p>
          <w:p w:rsidR="00B36711" w:rsidRPr="00DD0790" w:rsidRDefault="00B36711" w:rsidP="00B36711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B36711">
              <w:rPr>
                <w:rFonts w:eastAsia="標楷體"/>
              </w:rPr>
              <w:t xml:space="preserve">1. </w:t>
            </w:r>
            <w:r w:rsidRPr="00B36711">
              <w:rPr>
                <w:rFonts w:eastAsia="標楷體"/>
              </w:rPr>
              <w:t>市場現象描述</w:t>
            </w:r>
            <w:r>
              <w:rPr>
                <w:rFonts w:eastAsia="標楷體"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36711">
              <w:rPr>
                <w:rFonts w:eastAsia="標楷體" w:hint="eastAsia"/>
              </w:rPr>
              <w:t>近期人民幣出現難得一見的大貶</w:t>
            </w:r>
            <w:r>
              <w:rPr>
                <w:rFonts w:ascii="標楷體" w:eastAsia="標楷體" w:hAnsi="標楷體" w:hint="eastAsia"/>
              </w:rPr>
              <w:t>；</w:t>
            </w:r>
            <w:r w:rsidRPr="00B36711">
              <w:rPr>
                <w:rFonts w:eastAsia="標楷體" w:hint="eastAsia"/>
              </w:rPr>
              <w:t>是官方要打擊投機熱，還是中國經濟出了問題</w:t>
            </w:r>
            <w:r w:rsidRPr="00B36711">
              <w:rPr>
                <w:rFonts w:eastAsia="標楷體" w:hint="eastAsia"/>
              </w:rPr>
              <w:t>?</w:t>
            </w:r>
          </w:p>
          <w:p w:rsidR="00B36711" w:rsidRPr="00B36711" w:rsidRDefault="00B36711" w:rsidP="00B36711">
            <w:pPr>
              <w:ind w:left="360" w:hanging="240"/>
              <w:jc w:val="both"/>
              <w:rPr>
                <w:rFonts w:eastAsia="標楷體"/>
              </w:rPr>
            </w:pPr>
            <w:r w:rsidRPr="00B36711">
              <w:rPr>
                <w:rFonts w:eastAsia="標楷體"/>
              </w:rPr>
              <w:lastRenderedPageBreak/>
              <w:t xml:space="preserve">2. </w:t>
            </w:r>
            <w:r w:rsidRPr="00B36711">
              <w:rPr>
                <w:rFonts w:eastAsia="標楷體"/>
              </w:rPr>
              <w:t>市場現象背景分析大綱</w:t>
            </w:r>
          </w:p>
          <w:p w:rsidR="00B36711" w:rsidRPr="00B36711" w:rsidRDefault="00B36711" w:rsidP="00B3671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2013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第二季的錢荒的延續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: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地方過度舉債的風險浮現、銀行仰賴政府，忽略流動性管理、人民銀行給中國銀行業上了一課</w:t>
            </w:r>
          </w:p>
          <w:p w:rsidR="00B36711" w:rsidRPr="00B36711" w:rsidRDefault="00B36711" w:rsidP="00B3671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中國金融市場的一步險棋，市場人心浮動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 xml:space="preserve">: 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理財產品接二連三出包、中國債券市場零違約神話破滅</w:t>
            </w:r>
          </w:p>
          <w:p w:rsidR="00B36711" w:rsidRPr="00B36711" w:rsidRDefault="00B36711" w:rsidP="00B3671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今年以來中國經濟動能明顯減速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 xml:space="preserve">- </w:t>
            </w: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內需外銷均疲弱</w:t>
            </w:r>
          </w:p>
          <w:p w:rsidR="00B36711" w:rsidRPr="00B36711" w:rsidRDefault="00B36711" w:rsidP="00B3671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B36711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為了放寬匯率波動區間做準備</w:t>
            </w:r>
          </w:p>
          <w:p w:rsidR="001A6360" w:rsidRPr="00743D6F" w:rsidRDefault="00743D6F" w:rsidP="00743D6F">
            <w:pPr>
              <w:ind w:left="360" w:hanging="240"/>
              <w:jc w:val="both"/>
              <w:rPr>
                <w:rFonts w:eastAsia="標楷體"/>
              </w:rPr>
            </w:pPr>
            <w:r w:rsidRPr="00743D6F">
              <w:rPr>
                <w:rFonts w:eastAsia="標楷體"/>
              </w:rPr>
              <w:t xml:space="preserve">3. </w:t>
            </w:r>
            <w:r w:rsidRPr="00743D6F">
              <w:rPr>
                <w:rFonts w:eastAsia="標楷體" w:hint="eastAsia"/>
              </w:rPr>
              <w:t>展望與結論</w:t>
            </w:r>
            <w:r w:rsidRPr="00743D6F">
              <w:rPr>
                <w:rFonts w:eastAsia="標楷體"/>
              </w:rPr>
              <w:t xml:space="preserve">: </w:t>
            </w:r>
            <w:r w:rsidRPr="00743D6F">
              <w:rPr>
                <w:rFonts w:eastAsia="標楷體" w:hint="eastAsia"/>
              </w:rPr>
              <w:t>回歸政策可控性</w:t>
            </w:r>
          </w:p>
          <w:p w:rsidR="00743D6F" w:rsidRPr="00743D6F" w:rsidRDefault="00743D6F" w:rsidP="00743D6F">
            <w:pPr>
              <w:ind w:left="360" w:hanging="240"/>
              <w:jc w:val="both"/>
              <w:rPr>
                <w:rFonts w:eastAsia="標楷體"/>
              </w:rPr>
            </w:pPr>
            <w:r w:rsidRPr="00743D6F">
              <w:rPr>
                <w:rFonts w:eastAsia="標楷體" w:hint="eastAsia"/>
              </w:rPr>
              <w:t>展望：經濟不致失速，信用風險可控，人民幣貶幅有限</w:t>
            </w:r>
          </w:p>
          <w:p w:rsidR="00743D6F" w:rsidRPr="00743D6F" w:rsidRDefault="00743D6F" w:rsidP="00743D6F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保增長就是保就業：</w:t>
            </w:r>
            <w:r w:rsidRPr="00743D6F">
              <w:rPr>
                <w:rFonts w:asciiTheme="minorHAnsi" w:eastAsia="標楷體" w:hAnsiTheme="minorHAnsi" w:cstheme="minorBidi"/>
                <w:kern w:val="2"/>
                <w:szCs w:val="22"/>
              </w:rPr>
              <w:t>GDP</w:t>
            </w: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成長率長期低於</w:t>
            </w:r>
            <w:r w:rsidRPr="00743D6F">
              <w:rPr>
                <w:rFonts w:asciiTheme="minorHAnsi" w:eastAsia="標楷體" w:hAnsiTheme="minorHAnsi" w:cstheme="minorBidi"/>
                <w:kern w:val="2"/>
                <w:szCs w:val="22"/>
              </w:rPr>
              <w:t>7.5%</w:t>
            </w: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，失業人口會有快速增加風險，不利社會安定</w:t>
            </w:r>
          </w:p>
          <w:p w:rsidR="00743D6F" w:rsidRPr="00743D6F" w:rsidRDefault="00743D6F" w:rsidP="00743D6F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全中國政府總債務債</w:t>
            </w:r>
            <w:r w:rsidRPr="00743D6F">
              <w:rPr>
                <w:rFonts w:asciiTheme="minorHAnsi" w:eastAsia="標楷體" w:hAnsiTheme="minorHAnsi" w:cstheme="minorBidi"/>
                <w:kern w:val="2"/>
                <w:szCs w:val="22"/>
              </w:rPr>
              <w:t>GDP</w:t>
            </w: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總量為</w:t>
            </w:r>
            <w:r w:rsidRPr="00743D6F">
              <w:rPr>
                <w:rFonts w:asciiTheme="minorHAnsi" w:eastAsia="標楷體" w:hAnsiTheme="minorHAnsi" w:cstheme="minorBidi"/>
                <w:kern w:val="2"/>
                <w:szCs w:val="22"/>
              </w:rPr>
              <w:t>39.4%</w:t>
            </w: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，遠低於許多成熟與新興市場</w:t>
            </w:r>
          </w:p>
          <w:p w:rsidR="00743D6F" w:rsidRPr="00743D6F" w:rsidRDefault="00743D6F" w:rsidP="00743D6F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人民幣國際化是中國人行戰略目標，持續貶值將難以吸引市場持有</w:t>
            </w:r>
          </w:p>
          <w:p w:rsidR="00743D6F" w:rsidRPr="00743D6F" w:rsidRDefault="00743D6F" w:rsidP="00743D6F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Theme="minorHAnsi" w:eastAsia="標楷體" w:hAnsiTheme="minorHAnsi" w:cstheme="minorBidi"/>
                <w:kern w:val="2"/>
                <w:szCs w:val="22"/>
              </w:rPr>
            </w:pP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人民幣本次貶值為人行刻意啟動，中國為外匯管制國家，</w:t>
            </w:r>
            <w:r w:rsidRPr="00743D6F">
              <w:rPr>
                <w:rFonts w:asciiTheme="minorHAnsi" w:eastAsia="標楷體" w:hAnsiTheme="minorHAnsi" w:cstheme="minorBidi"/>
                <w:kern w:val="2"/>
                <w:szCs w:val="22"/>
              </w:rPr>
              <w:t>CNY</w:t>
            </w:r>
            <w:r w:rsidRPr="00743D6F">
              <w:rPr>
                <w:rFonts w:asciiTheme="minorHAnsi" w:eastAsia="標楷體" w:hAnsiTheme="minorHAnsi" w:cstheme="minorBidi" w:hint="eastAsia"/>
                <w:kern w:val="2"/>
                <w:szCs w:val="22"/>
              </w:rPr>
              <w:t>貶幅仍在人行掌控中</w:t>
            </w:r>
          </w:p>
          <w:p w:rsidR="00743D6F" w:rsidRPr="00743D6F" w:rsidRDefault="00743D6F" w:rsidP="00614B1C">
            <w:pPr>
              <w:ind w:leftChars="20" w:left="146" w:hangingChars="41" w:hanging="98"/>
              <w:jc w:val="both"/>
              <w:rPr>
                <w:rFonts w:eastAsia="標楷體" w:hint="eastAsia"/>
              </w:rPr>
            </w:pPr>
          </w:p>
        </w:tc>
      </w:tr>
      <w:tr w:rsidR="000927F1" w:rsidRPr="004F456F" w:rsidTr="00EA1706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27F1" w:rsidRDefault="000927F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0927F1" w:rsidRPr="00CD6B06" w:rsidRDefault="000927F1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27F1" w:rsidRPr="003125AC" w:rsidRDefault="000927F1" w:rsidP="00614B1C">
            <w:pPr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  <w:bookmarkStart w:id="0" w:name="_GoBack"/>
            <w:bookmarkEnd w:id="0"/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F1" w:rsidRPr="003125AC" w:rsidRDefault="000927F1" w:rsidP="00EA1706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</w:tr>
      <w:tr w:rsidR="000927F1" w:rsidRPr="004F456F" w:rsidTr="000927F1">
        <w:trPr>
          <w:trHeight w:val="3945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27F1" w:rsidRDefault="000927F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0927F1" w:rsidRPr="000A3C6D" w:rsidRDefault="000927F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6053A98" wp14:editId="51A5C3FE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50165</wp:posOffset>
                  </wp:positionV>
                  <wp:extent cx="2569845" cy="2302510"/>
                  <wp:effectExtent l="0" t="0" r="1905" b="254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8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845" cy="230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27F1" w:rsidRPr="000A3C6D" w:rsidRDefault="000927F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F5CBAE4" wp14:editId="037AB1F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42545</wp:posOffset>
                  </wp:positionV>
                  <wp:extent cx="2787650" cy="2359660"/>
                  <wp:effectExtent l="0" t="0" r="0" b="254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8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0" cy="235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27F1" w:rsidRPr="004F456F" w:rsidTr="000927F1">
        <w:trPr>
          <w:trHeight w:val="457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27F1" w:rsidRDefault="000927F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0927F1" w:rsidRDefault="000927F1" w:rsidP="00751A12">
            <w:pPr>
              <w:ind w:left="360" w:hanging="240"/>
              <w:jc w:val="both"/>
              <w:rPr>
                <w:noProof/>
              </w:rPr>
            </w:pPr>
            <w:r w:rsidRPr="000927F1">
              <w:rPr>
                <w:rFonts w:eastAsia="標楷體" w:hint="eastAsia"/>
              </w:rPr>
              <w:t>講師為學生講解投資流程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27F1" w:rsidRDefault="000927F1" w:rsidP="00751A12">
            <w:pPr>
              <w:ind w:left="360" w:hanging="240"/>
              <w:jc w:val="both"/>
              <w:rPr>
                <w:noProof/>
              </w:rPr>
            </w:pPr>
            <w:r w:rsidRPr="000927F1">
              <w:rPr>
                <w:rFonts w:eastAsia="標楷體" w:hint="eastAsia"/>
              </w:rPr>
              <w:t>說明一般財富管理通路</w:t>
            </w:r>
          </w:p>
        </w:tc>
      </w:tr>
      <w:tr w:rsidR="000927F1" w:rsidRPr="004F456F" w:rsidTr="000927F1">
        <w:trPr>
          <w:trHeight w:val="3975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27F1" w:rsidRDefault="000927F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0927F1" w:rsidRPr="000A3C6D" w:rsidRDefault="000927F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0" locked="0" layoutInCell="1" allowOverlap="1" wp14:anchorId="150940B9" wp14:editId="1F04A85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125095</wp:posOffset>
                  </wp:positionV>
                  <wp:extent cx="2546350" cy="2369185"/>
                  <wp:effectExtent l="0" t="0" r="635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8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236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27F1" w:rsidRPr="000A3C6D" w:rsidRDefault="000927F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0BACEC0" wp14:editId="699A579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195115</wp:posOffset>
                  </wp:positionV>
                  <wp:extent cx="2812415" cy="2297430"/>
                  <wp:effectExtent l="0" t="0" r="6985" b="762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38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415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27F1" w:rsidRPr="004F456F" w:rsidTr="000927F1">
        <w:trPr>
          <w:trHeight w:val="43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27F1" w:rsidRDefault="000927F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0927F1" w:rsidRPr="000927F1" w:rsidRDefault="000927F1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 w:rsidRPr="000927F1">
              <w:rPr>
                <w:rFonts w:eastAsia="標楷體" w:hint="eastAsia"/>
              </w:rPr>
              <w:t>講師分析市場現向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27F1" w:rsidRDefault="000927F1" w:rsidP="00751A12">
            <w:pPr>
              <w:ind w:left="360" w:hanging="240"/>
              <w:jc w:val="both"/>
              <w:rPr>
                <w:noProof/>
              </w:rPr>
            </w:pPr>
            <w:r w:rsidRPr="000927F1">
              <w:rPr>
                <w:rFonts w:eastAsia="標楷體" w:hint="eastAsia"/>
              </w:rPr>
              <w:t>講師分析市場現向</w:t>
            </w:r>
          </w:p>
        </w:tc>
      </w:tr>
    </w:tbl>
    <w:p w:rsidR="005154D4" w:rsidRPr="00C93D25" w:rsidRDefault="005154D4" w:rsidP="00651875">
      <w:pPr>
        <w:widowControl/>
        <w:ind w:leftChars="20" w:left="146" w:hangingChars="41" w:hanging="98"/>
        <w:rPr>
          <w:rFonts w:ascii="標楷體" w:eastAsia="標楷體" w:hAnsi="標楷體"/>
          <w:szCs w:val="24"/>
        </w:rPr>
      </w:pPr>
    </w:p>
    <w:p w:rsidR="00BC55D2" w:rsidRDefault="00BC55D2" w:rsidP="00651875">
      <w:pPr>
        <w:ind w:leftChars="20" w:left="146" w:hangingChars="41" w:hanging="98"/>
      </w:pPr>
    </w:p>
    <w:p w:rsidR="00651875" w:rsidRDefault="00651875" w:rsidP="000504D7">
      <w:pPr>
        <w:ind w:leftChars="20" w:left="146" w:hangingChars="41" w:hanging="98"/>
      </w:pPr>
    </w:p>
    <w:p w:rsidR="00651875" w:rsidRDefault="00651875" w:rsidP="00A97F19">
      <w:pPr>
        <w:ind w:leftChars="20" w:left="146" w:hangingChars="41" w:hanging="98"/>
        <w:rPr>
          <w:noProof/>
        </w:rPr>
      </w:pPr>
    </w:p>
    <w:p w:rsidR="00651875" w:rsidRDefault="00651875" w:rsidP="00A97F19">
      <w:pPr>
        <w:ind w:leftChars="20" w:left="146" w:hangingChars="41" w:hanging="98"/>
      </w:pPr>
    </w:p>
    <w:p w:rsidR="00A97F19" w:rsidRDefault="00A97F19">
      <w:pPr>
        <w:ind w:leftChars="20" w:left="146" w:hangingChars="41" w:hanging="98"/>
      </w:pPr>
    </w:p>
    <w:sectPr w:rsidR="00A97F19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D5" w:rsidRDefault="004C6BD5" w:rsidP="00B23FF5">
      <w:pPr>
        <w:ind w:left="360" w:hanging="240"/>
      </w:pPr>
      <w:r>
        <w:separator/>
      </w:r>
    </w:p>
  </w:endnote>
  <w:endnote w:type="continuationSeparator" w:id="0">
    <w:p w:rsidR="004C6BD5" w:rsidRDefault="004C6BD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.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C6BD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B1C" w:rsidRPr="00614B1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C6BD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C6BD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D5" w:rsidRDefault="004C6BD5" w:rsidP="00B23FF5">
      <w:pPr>
        <w:ind w:left="360" w:hanging="240"/>
      </w:pPr>
      <w:r>
        <w:separator/>
      </w:r>
    </w:p>
  </w:footnote>
  <w:footnote w:type="continuationSeparator" w:id="0">
    <w:p w:rsidR="004C6BD5" w:rsidRDefault="004C6BD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C6BD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C6BD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C6BD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6E5452"/>
    <w:multiLevelType w:val="hybridMultilevel"/>
    <w:tmpl w:val="F3C313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D625C9"/>
    <w:multiLevelType w:val="hybridMultilevel"/>
    <w:tmpl w:val="8BAA9DD4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>
    <w:nsid w:val="0D286AD1"/>
    <w:multiLevelType w:val="hybridMultilevel"/>
    <w:tmpl w:val="A926A55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>
    <w:nsid w:val="171379A8"/>
    <w:multiLevelType w:val="hybridMultilevel"/>
    <w:tmpl w:val="EBCCB530"/>
    <w:lvl w:ilvl="0" w:tplc="8D9AC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24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6E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C28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24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09D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01D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09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A5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72895"/>
    <w:multiLevelType w:val="hybridMultilevel"/>
    <w:tmpl w:val="3DB82A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F8A0516"/>
    <w:multiLevelType w:val="hybridMultilevel"/>
    <w:tmpl w:val="820EC772"/>
    <w:lvl w:ilvl="0" w:tplc="0D46A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27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E0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C84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62F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A5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28B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678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4C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214B9"/>
    <w:multiLevelType w:val="hybridMultilevel"/>
    <w:tmpl w:val="8272F5E0"/>
    <w:lvl w:ilvl="0" w:tplc="3782E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074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0F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2F8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0FC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8A7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CC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C4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8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713FA"/>
    <w:multiLevelType w:val="hybridMultilevel"/>
    <w:tmpl w:val="262E0970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>
    <w:nsid w:val="486C0951"/>
    <w:multiLevelType w:val="hybridMultilevel"/>
    <w:tmpl w:val="D16A66BA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9">
    <w:nsid w:val="49283BF3"/>
    <w:multiLevelType w:val="hybridMultilevel"/>
    <w:tmpl w:val="50B82E6A"/>
    <w:lvl w:ilvl="0" w:tplc="EFCAA3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8F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46B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644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82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9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69B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AB9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A19C6"/>
    <w:multiLevelType w:val="hybridMultilevel"/>
    <w:tmpl w:val="F5D44778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1">
    <w:nsid w:val="590F5FED"/>
    <w:multiLevelType w:val="hybridMultilevel"/>
    <w:tmpl w:val="C9428554"/>
    <w:lvl w:ilvl="0" w:tplc="4B86A6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EE1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65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C76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168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44F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207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C0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A47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A5282"/>
    <w:multiLevelType w:val="hybridMultilevel"/>
    <w:tmpl w:val="0E10E650"/>
    <w:lvl w:ilvl="0" w:tplc="0AC6C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E09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2A7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8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40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4C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2C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0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EC4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438C8"/>
    <w:multiLevelType w:val="hybridMultilevel"/>
    <w:tmpl w:val="1B20F704"/>
    <w:lvl w:ilvl="0" w:tplc="EE48F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E2D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EEF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2FB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647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424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2AE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8AE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613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E605FE"/>
    <w:multiLevelType w:val="hybridMultilevel"/>
    <w:tmpl w:val="9830F85C"/>
    <w:lvl w:ilvl="0" w:tplc="85EE9F08">
      <w:start w:val="1"/>
      <w:numFmt w:val="bullet"/>
      <w:lvlText w:val=""/>
      <w:lvlJc w:val="left"/>
      <w:pPr>
        <w:ind w:left="60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5">
    <w:nsid w:val="6CEF4D01"/>
    <w:multiLevelType w:val="hybridMultilevel"/>
    <w:tmpl w:val="A6523A62"/>
    <w:lvl w:ilvl="0" w:tplc="43CC4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4C1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03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7E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83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0D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CC6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A64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65F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AD059D"/>
    <w:multiLevelType w:val="hybridMultilevel"/>
    <w:tmpl w:val="0966F8DE"/>
    <w:lvl w:ilvl="0" w:tplc="FF3C2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E18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050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A5B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8A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A2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6DA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40A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34BE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037C4"/>
    <w:multiLevelType w:val="hybridMultilevel"/>
    <w:tmpl w:val="46489EF2"/>
    <w:lvl w:ilvl="0" w:tplc="85EE9F08">
      <w:start w:val="1"/>
      <w:numFmt w:val="bullet"/>
      <w:lvlText w:val=""/>
      <w:lvlJc w:val="left"/>
      <w:pPr>
        <w:ind w:left="60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4"/>
  </w:num>
  <w:num w:numId="13">
    <w:abstractNumId w:val="17"/>
  </w:num>
  <w:num w:numId="14">
    <w:abstractNumId w:val="4"/>
  </w:num>
  <w:num w:numId="15">
    <w:abstractNumId w:val="1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33373"/>
    <w:rsid w:val="000504D7"/>
    <w:rsid w:val="00053EB7"/>
    <w:rsid w:val="000562F5"/>
    <w:rsid w:val="000611E4"/>
    <w:rsid w:val="000708B4"/>
    <w:rsid w:val="00080EF3"/>
    <w:rsid w:val="000927F1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65140"/>
    <w:rsid w:val="00181BF9"/>
    <w:rsid w:val="00193E9D"/>
    <w:rsid w:val="001A6360"/>
    <w:rsid w:val="001B2F52"/>
    <w:rsid w:val="001C2D4D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97F99"/>
    <w:rsid w:val="002A50E6"/>
    <w:rsid w:val="002A614C"/>
    <w:rsid w:val="002B1169"/>
    <w:rsid w:val="0032229E"/>
    <w:rsid w:val="00330FED"/>
    <w:rsid w:val="00354423"/>
    <w:rsid w:val="003645C9"/>
    <w:rsid w:val="003A165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C6BD5"/>
    <w:rsid w:val="004D60DA"/>
    <w:rsid w:val="004E4531"/>
    <w:rsid w:val="004E539A"/>
    <w:rsid w:val="004F085E"/>
    <w:rsid w:val="005154D4"/>
    <w:rsid w:val="00515AF1"/>
    <w:rsid w:val="00552264"/>
    <w:rsid w:val="00562725"/>
    <w:rsid w:val="00570E19"/>
    <w:rsid w:val="0057201E"/>
    <w:rsid w:val="005724A3"/>
    <w:rsid w:val="00592CC9"/>
    <w:rsid w:val="00597DCA"/>
    <w:rsid w:val="005B1439"/>
    <w:rsid w:val="005C11F5"/>
    <w:rsid w:val="00603F7C"/>
    <w:rsid w:val="00614B1C"/>
    <w:rsid w:val="00617A41"/>
    <w:rsid w:val="006238EC"/>
    <w:rsid w:val="00651875"/>
    <w:rsid w:val="00656733"/>
    <w:rsid w:val="006647F3"/>
    <w:rsid w:val="00684CAE"/>
    <w:rsid w:val="006B3051"/>
    <w:rsid w:val="006B368D"/>
    <w:rsid w:val="006C58CC"/>
    <w:rsid w:val="0070235E"/>
    <w:rsid w:val="00721127"/>
    <w:rsid w:val="00743D6F"/>
    <w:rsid w:val="0079038A"/>
    <w:rsid w:val="00791708"/>
    <w:rsid w:val="007B623C"/>
    <w:rsid w:val="007D5CFA"/>
    <w:rsid w:val="007F3CD1"/>
    <w:rsid w:val="00814324"/>
    <w:rsid w:val="00821128"/>
    <w:rsid w:val="00831778"/>
    <w:rsid w:val="008328BE"/>
    <w:rsid w:val="008424F1"/>
    <w:rsid w:val="00843BD8"/>
    <w:rsid w:val="00843F99"/>
    <w:rsid w:val="00872AE2"/>
    <w:rsid w:val="008737D0"/>
    <w:rsid w:val="00883668"/>
    <w:rsid w:val="008A6FB5"/>
    <w:rsid w:val="008B4AE5"/>
    <w:rsid w:val="008D5BE1"/>
    <w:rsid w:val="008E4C06"/>
    <w:rsid w:val="008F1184"/>
    <w:rsid w:val="008F21C6"/>
    <w:rsid w:val="008F5994"/>
    <w:rsid w:val="00914500"/>
    <w:rsid w:val="009332C9"/>
    <w:rsid w:val="009438DC"/>
    <w:rsid w:val="0097052F"/>
    <w:rsid w:val="009768B6"/>
    <w:rsid w:val="009923CC"/>
    <w:rsid w:val="009924C9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6598E"/>
    <w:rsid w:val="00A735F7"/>
    <w:rsid w:val="00A97F19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36711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C5A10"/>
    <w:rsid w:val="00BD079F"/>
    <w:rsid w:val="00BD43D7"/>
    <w:rsid w:val="00BD5CCF"/>
    <w:rsid w:val="00BD622A"/>
    <w:rsid w:val="00BE28E6"/>
    <w:rsid w:val="00BE2A7B"/>
    <w:rsid w:val="00BE7691"/>
    <w:rsid w:val="00C061DC"/>
    <w:rsid w:val="00C10948"/>
    <w:rsid w:val="00C152B8"/>
    <w:rsid w:val="00C1647E"/>
    <w:rsid w:val="00C52F02"/>
    <w:rsid w:val="00C61B34"/>
    <w:rsid w:val="00C674E9"/>
    <w:rsid w:val="00C75BA7"/>
    <w:rsid w:val="00CA789C"/>
    <w:rsid w:val="00CB0934"/>
    <w:rsid w:val="00CC3263"/>
    <w:rsid w:val="00CD0C6E"/>
    <w:rsid w:val="00CD6B1E"/>
    <w:rsid w:val="00CF6CE0"/>
    <w:rsid w:val="00D17A99"/>
    <w:rsid w:val="00D47A2C"/>
    <w:rsid w:val="00D56D4A"/>
    <w:rsid w:val="00D7561E"/>
    <w:rsid w:val="00D8364E"/>
    <w:rsid w:val="00D90AFC"/>
    <w:rsid w:val="00D9258C"/>
    <w:rsid w:val="00DA393E"/>
    <w:rsid w:val="00DB5541"/>
    <w:rsid w:val="00DC6AF1"/>
    <w:rsid w:val="00DD0790"/>
    <w:rsid w:val="00E54DDB"/>
    <w:rsid w:val="00E70B4B"/>
    <w:rsid w:val="00E71E26"/>
    <w:rsid w:val="00E83F85"/>
    <w:rsid w:val="00E84B38"/>
    <w:rsid w:val="00E92780"/>
    <w:rsid w:val="00E9468D"/>
    <w:rsid w:val="00EA1706"/>
    <w:rsid w:val="00EE2775"/>
    <w:rsid w:val="00EE53F8"/>
    <w:rsid w:val="00EF0C35"/>
    <w:rsid w:val="00F01582"/>
    <w:rsid w:val="00F21BF7"/>
    <w:rsid w:val="00F33C19"/>
    <w:rsid w:val="00F34E18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671B9-796E-42DB-AD48-8B1D9CE6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651875"/>
    <w:pPr>
      <w:widowControl/>
      <w:ind w:leftChars="200" w:left="48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1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18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561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articlecss1">
    <w:name w:val="articlecss1"/>
    <w:basedOn w:val="a0"/>
    <w:rsid w:val="001A6360"/>
    <w:rPr>
      <w:vanish w:val="0"/>
      <w:webHidden w:val="0"/>
      <w:spacing w:val="15"/>
      <w:sz w:val="23"/>
      <w:szCs w:val="23"/>
      <w:specVanish w:val="0"/>
    </w:rPr>
  </w:style>
  <w:style w:type="paragraph" w:customStyle="1" w:styleId="Default">
    <w:name w:val="Default"/>
    <w:rsid w:val="006238EC"/>
    <w:pPr>
      <w:widowControl w:val="0"/>
      <w:autoSpaceDE w:val="0"/>
      <w:autoSpaceDN w:val="0"/>
      <w:adjustRightInd w:val="0"/>
    </w:pPr>
    <w:rPr>
      <w:rFonts w:ascii="新細明體.." w:eastAsia="新細明體.." w:cs="新細明體.."/>
      <w:color w:val="000000"/>
      <w:kern w:val="0"/>
      <w:szCs w:val="24"/>
    </w:rPr>
  </w:style>
  <w:style w:type="character" w:styleId="aa">
    <w:name w:val="Placeholder Text"/>
    <w:basedOn w:val="a0"/>
    <w:uiPriority w:val="99"/>
    <w:semiHidden/>
    <w:rsid w:val="00BD4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03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68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684">
          <w:marLeft w:val="0"/>
          <w:marRight w:val="0"/>
          <w:marTop w:val="0"/>
          <w:marBottom w:val="0"/>
          <w:divBdr>
            <w:top w:val="single" w:sz="6" w:space="0" w:color="FFE2DD"/>
            <w:left w:val="single" w:sz="6" w:space="0" w:color="FFE2DD"/>
            <w:bottom w:val="single" w:sz="6" w:space="0" w:color="FFE2DD"/>
            <w:right w:val="single" w:sz="6" w:space="0" w:color="FFE2DD"/>
          </w:divBdr>
          <w:divsChild>
            <w:div w:id="6181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0250">
                  <w:marLeft w:val="0"/>
                  <w:marRight w:val="0"/>
                  <w:marTop w:val="0"/>
                  <w:marBottom w:val="0"/>
                  <w:divBdr>
                    <w:top w:val="single" w:sz="6" w:space="0" w:color="FFECAD"/>
                    <w:left w:val="single" w:sz="6" w:space="0" w:color="FFECAD"/>
                    <w:bottom w:val="single" w:sz="6" w:space="0" w:color="FFECAD"/>
                    <w:right w:val="single" w:sz="6" w:space="0" w:color="FFECAD"/>
                  </w:divBdr>
                  <w:divsChild>
                    <w:div w:id="743451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4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49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7881">
                          <w:marLeft w:val="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4719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76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6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3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96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9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22</cp:revision>
  <dcterms:created xsi:type="dcterms:W3CDTF">2014-05-07T04:30:00Z</dcterms:created>
  <dcterms:modified xsi:type="dcterms:W3CDTF">2014-05-23T02:29:00Z</dcterms:modified>
</cp:coreProperties>
</file>