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Pr>
          <w:rFonts w:ascii="Times New Roman" w:eastAsia="標楷體" w:hAnsi="標楷體" w:hint="eastAsia"/>
          <w:b/>
          <w:sz w:val="32"/>
          <w:szCs w:val="32"/>
        </w:rPr>
        <w:t>10</w:t>
      </w:r>
      <w:r w:rsidR="007A06F4">
        <w:rPr>
          <w:rFonts w:ascii="Times New Roman" w:eastAsia="標楷體" w:hAnsi="標楷體" w:hint="eastAsia"/>
          <w:b/>
          <w:sz w:val="32"/>
          <w:szCs w:val="32"/>
        </w:rPr>
        <w:t>3</w:t>
      </w:r>
      <w:r>
        <w:rPr>
          <w:rFonts w:ascii="Times New Roman" w:eastAsia="標楷體" w:hAnsi="標楷體" w:hint="eastAsia"/>
          <w:b/>
          <w:sz w:val="32"/>
          <w:szCs w:val="32"/>
        </w:rPr>
        <w:t>年度獎勵大學教學卓越計畫</w:t>
      </w:r>
    </w:p>
    <w:p w:rsidR="005154D4" w:rsidRPr="00C67B05" w:rsidRDefault="00187D9A"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w:t>
      </w:r>
      <w:r w:rsidR="005154D4">
        <w:rPr>
          <w:rFonts w:ascii="Times New Roman" w:eastAsia="標楷體" w:hAnsi="標楷體" w:hint="eastAsia"/>
          <w:b/>
          <w:sz w:val="32"/>
          <w:szCs w:val="32"/>
        </w:rPr>
        <w:t>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7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6"/>
        <w:gridCol w:w="4788"/>
      </w:tblGrid>
      <w:tr w:rsidR="005154D4" w:rsidRPr="001C1E24" w:rsidTr="005738FC">
        <w:trPr>
          <w:trHeight w:val="567"/>
          <w:jc w:val="center"/>
        </w:trPr>
        <w:tc>
          <w:tcPr>
            <w:tcW w:w="736"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9436" w:type="dxa"/>
            <w:gridSpan w:val="2"/>
            <w:tcBorders>
              <w:top w:val="single" w:sz="12" w:space="0" w:color="auto"/>
              <w:bottom w:val="single" w:sz="12" w:space="0" w:color="auto"/>
              <w:right w:val="single" w:sz="12" w:space="0" w:color="auto"/>
            </w:tcBorders>
            <w:shd w:val="clear" w:color="auto" w:fill="auto"/>
            <w:vAlign w:val="center"/>
          </w:tcPr>
          <w:p w:rsidR="005154D4" w:rsidRPr="00C3652E" w:rsidRDefault="00AB17B3" w:rsidP="00751A12">
            <w:pPr>
              <w:ind w:left="360" w:hanging="240"/>
              <w:jc w:val="both"/>
              <w:rPr>
                <w:rFonts w:ascii="標楷體" w:eastAsia="標楷體" w:hAnsi="標楷體"/>
                <w:szCs w:val="24"/>
              </w:rPr>
            </w:pPr>
            <w:r w:rsidRPr="00AB17B3">
              <w:rPr>
                <w:rFonts w:ascii="標楷體" w:eastAsia="標楷體" w:hAnsi="標楷體" w:hint="eastAsia"/>
                <w:szCs w:val="24"/>
              </w:rPr>
              <w:t>H8 商學院提升學生專業實務能力計畫</w:t>
            </w:r>
          </w:p>
        </w:tc>
      </w:tr>
      <w:tr w:rsidR="005154D4" w:rsidRPr="001C1E24" w:rsidTr="005738FC">
        <w:trPr>
          <w:trHeight w:val="567"/>
          <w:jc w:val="center"/>
        </w:trPr>
        <w:tc>
          <w:tcPr>
            <w:tcW w:w="736" w:type="dxa"/>
            <w:tcBorders>
              <w:top w:val="single" w:sz="12" w:space="0" w:color="auto"/>
              <w:left w:val="single" w:sz="12" w:space="0" w:color="auto"/>
            </w:tcBorders>
            <w:shd w:val="clear" w:color="auto" w:fill="auto"/>
            <w:vAlign w:val="center"/>
          </w:tcPr>
          <w:p w:rsidR="005154D4" w:rsidRPr="00D90FCC" w:rsidRDefault="005154D4" w:rsidP="00751A12">
            <w:pPr>
              <w:ind w:leftChars="16" w:left="38" w:firstLineChars="0" w:firstLine="0"/>
              <w:rPr>
                <w:rFonts w:ascii="Times New Roman" w:eastAsia="標楷體" w:hAnsi="標楷體"/>
                <w:b/>
                <w:szCs w:val="24"/>
              </w:rPr>
            </w:pPr>
            <w:r w:rsidRPr="00D90FCC">
              <w:rPr>
                <w:rFonts w:ascii="Times New Roman" w:eastAsia="標楷體" w:hAnsi="標楷體" w:hint="eastAsia"/>
                <w:b/>
                <w:szCs w:val="24"/>
              </w:rPr>
              <w:t>具體作法</w:t>
            </w:r>
          </w:p>
        </w:tc>
        <w:tc>
          <w:tcPr>
            <w:tcW w:w="9436" w:type="dxa"/>
            <w:gridSpan w:val="2"/>
            <w:tcBorders>
              <w:top w:val="single" w:sz="12" w:space="0" w:color="auto"/>
              <w:right w:val="single" w:sz="12" w:space="0" w:color="auto"/>
            </w:tcBorders>
            <w:shd w:val="clear" w:color="auto" w:fill="auto"/>
            <w:vAlign w:val="center"/>
          </w:tcPr>
          <w:p w:rsidR="005154D4" w:rsidRPr="00D90FCC" w:rsidRDefault="00D90FCC" w:rsidP="007946EF">
            <w:pPr>
              <w:ind w:leftChars="20" w:left="146" w:hangingChars="41" w:hanging="98"/>
              <w:jc w:val="both"/>
              <w:rPr>
                <w:rFonts w:ascii="Times New Roman" w:eastAsia="標楷體" w:hAnsi="Times New Roman"/>
                <w:szCs w:val="24"/>
              </w:rPr>
            </w:pPr>
            <w:r>
              <w:rPr>
                <w:rFonts w:ascii="Times New Roman" w:eastAsia="標楷體" w:hAnsi="Times New Roman" w:hint="eastAsia"/>
                <w:szCs w:val="24"/>
              </w:rPr>
              <w:t>邀請業師</w:t>
            </w:r>
            <w:r w:rsidR="007946EF" w:rsidRPr="00D90FCC">
              <w:rPr>
                <w:rFonts w:ascii="Times New Roman" w:eastAsia="標楷體" w:hAnsi="Times New Roman" w:hint="eastAsia"/>
                <w:szCs w:val="24"/>
              </w:rPr>
              <w:t>授課</w:t>
            </w:r>
          </w:p>
        </w:tc>
      </w:tr>
      <w:tr w:rsidR="00B41927" w:rsidRPr="00B41927" w:rsidTr="005738FC">
        <w:trPr>
          <w:trHeight w:val="3628"/>
          <w:jc w:val="center"/>
        </w:trPr>
        <w:tc>
          <w:tcPr>
            <w:tcW w:w="736" w:type="dxa"/>
            <w:tcBorders>
              <w:left w:val="single" w:sz="12" w:space="0" w:color="auto"/>
            </w:tcBorders>
            <w:shd w:val="clear" w:color="auto" w:fill="auto"/>
            <w:vAlign w:val="center"/>
          </w:tcPr>
          <w:p w:rsidR="005154D4" w:rsidRPr="00D90FCC" w:rsidRDefault="005154D4" w:rsidP="00751A12">
            <w:pPr>
              <w:ind w:left="360" w:hanging="240"/>
              <w:jc w:val="center"/>
              <w:rPr>
                <w:rFonts w:ascii="Times New Roman" w:eastAsia="標楷體" w:hAnsi="標楷體"/>
                <w:b/>
                <w:szCs w:val="24"/>
              </w:rPr>
            </w:pPr>
            <w:r w:rsidRPr="00D90FCC">
              <w:rPr>
                <w:rFonts w:ascii="Times New Roman" w:eastAsia="標楷體" w:hAnsi="標楷體" w:hint="eastAsia"/>
                <w:b/>
                <w:szCs w:val="24"/>
              </w:rPr>
              <w:t>內容</w:t>
            </w:r>
          </w:p>
          <w:p w:rsidR="005154D4" w:rsidRPr="00D90FCC" w:rsidRDefault="005154D4" w:rsidP="00751A12">
            <w:pPr>
              <w:ind w:left="320" w:hanging="200"/>
              <w:jc w:val="center"/>
              <w:rPr>
                <w:rFonts w:ascii="Times New Roman" w:eastAsia="標楷體" w:hAnsi="標楷體"/>
                <w:b/>
                <w:szCs w:val="24"/>
              </w:rPr>
            </w:pPr>
            <w:r w:rsidRPr="00D90FCC">
              <w:rPr>
                <w:rFonts w:ascii="Times New Roman" w:eastAsia="標楷體" w:hAnsi="標楷體" w:hint="eastAsia"/>
                <w:sz w:val="20"/>
                <w:szCs w:val="20"/>
              </w:rPr>
              <w:t>（活動內容簡述</w:t>
            </w:r>
            <w:r w:rsidRPr="00D90FCC">
              <w:rPr>
                <w:rFonts w:ascii="Times New Roman" w:eastAsia="標楷體" w:hAnsi="標楷體" w:hint="eastAsia"/>
                <w:sz w:val="20"/>
                <w:szCs w:val="20"/>
              </w:rPr>
              <w:t>/</w:t>
            </w:r>
            <w:r w:rsidRPr="00D90FCC">
              <w:rPr>
                <w:rFonts w:ascii="Times New Roman" w:eastAsia="標楷體" w:hAnsi="標楷體" w:hint="eastAsia"/>
                <w:sz w:val="20"/>
                <w:szCs w:val="20"/>
              </w:rPr>
              <w:t>執行成效）</w:t>
            </w:r>
          </w:p>
        </w:tc>
        <w:tc>
          <w:tcPr>
            <w:tcW w:w="9436" w:type="dxa"/>
            <w:gridSpan w:val="2"/>
            <w:tcBorders>
              <w:bottom w:val="single" w:sz="4" w:space="0" w:color="auto"/>
              <w:right w:val="single" w:sz="12" w:space="0" w:color="auto"/>
            </w:tcBorders>
            <w:shd w:val="clear" w:color="auto" w:fill="auto"/>
          </w:tcPr>
          <w:p w:rsidR="005154D4" w:rsidRPr="00D90FCC" w:rsidRDefault="006F7191" w:rsidP="00751A12">
            <w:pPr>
              <w:ind w:left="360" w:hanging="240"/>
              <w:jc w:val="both"/>
              <w:rPr>
                <w:rFonts w:eastAsia="標楷體"/>
                <w:b/>
              </w:rPr>
            </w:pPr>
            <w:r w:rsidRPr="00D90FCC">
              <w:rPr>
                <w:rFonts w:eastAsia="標楷體" w:hint="eastAsia"/>
                <w:b/>
              </w:rPr>
              <w:t>活動</w:t>
            </w:r>
            <w:r w:rsidR="005154D4" w:rsidRPr="00D90FCC">
              <w:rPr>
                <w:rFonts w:eastAsia="標楷體" w:hint="eastAsia"/>
                <w:b/>
              </w:rPr>
              <w:t>內容：</w:t>
            </w:r>
          </w:p>
          <w:p w:rsidR="00CD016A" w:rsidRPr="00D90FCC" w:rsidRDefault="007946EF" w:rsidP="00D80F32">
            <w:pPr>
              <w:ind w:left="360" w:hanging="240"/>
              <w:jc w:val="both"/>
              <w:rPr>
                <w:rFonts w:eastAsia="標楷體"/>
              </w:rPr>
            </w:pPr>
            <w:r w:rsidRPr="00D90FCC">
              <w:rPr>
                <w:rFonts w:ascii="Times New Roman" w:eastAsia="標楷體" w:hAnsi="Times New Roman" w:cs="Times New Roman" w:hint="eastAsia"/>
              </w:rPr>
              <w:t xml:space="preserve">    </w:t>
            </w:r>
            <w:r w:rsidR="00533CB6" w:rsidRPr="00D90FCC">
              <w:rPr>
                <w:rFonts w:ascii="Times New Roman" w:eastAsia="標楷體" w:hAnsi="Times New Roman" w:cs="Times New Roman" w:hint="eastAsia"/>
              </w:rPr>
              <w:t xml:space="preserve">  </w:t>
            </w:r>
            <w:r w:rsidR="00132F85" w:rsidRPr="00D90FCC">
              <w:rPr>
                <w:rFonts w:ascii="Times New Roman" w:eastAsia="標楷體" w:hAnsi="Times New Roman" w:cs="Times New Roman"/>
              </w:rPr>
              <w:t>本次課程</w:t>
            </w:r>
            <w:r w:rsidR="000F1A9B" w:rsidRPr="00D90FCC">
              <w:rPr>
                <w:rFonts w:ascii="Times New Roman" w:eastAsia="標楷體" w:hAnsi="Times New Roman" w:cs="Times New Roman" w:hint="eastAsia"/>
              </w:rPr>
              <w:t>邀</w:t>
            </w:r>
            <w:r w:rsidRPr="00D90FCC">
              <w:rPr>
                <w:rFonts w:ascii="Times New Roman" w:eastAsia="標楷體" w:hAnsi="Times New Roman" w:cs="Times New Roman"/>
              </w:rPr>
              <w:t>請</w:t>
            </w:r>
            <w:r w:rsidR="000F1A9B" w:rsidRPr="00D90FCC">
              <w:rPr>
                <w:rFonts w:ascii="Times New Roman" w:eastAsia="標楷體" w:hAnsi="Times New Roman" w:cs="Times New Roman" w:hint="eastAsia"/>
              </w:rPr>
              <w:t>資誠聯合會計師事務所</w:t>
            </w:r>
            <w:proofErr w:type="gramStart"/>
            <w:r w:rsidR="000F1A9B" w:rsidRPr="00D90FCC">
              <w:rPr>
                <w:rFonts w:ascii="Times New Roman" w:eastAsia="標楷體" w:hAnsi="Times New Roman" w:cs="Times New Roman" w:hint="eastAsia"/>
              </w:rPr>
              <w:t>鍾</w:t>
            </w:r>
            <w:proofErr w:type="gramEnd"/>
            <w:r w:rsidR="000F1A9B" w:rsidRPr="00D90FCC">
              <w:rPr>
                <w:rFonts w:ascii="Times New Roman" w:eastAsia="標楷體" w:hAnsi="Times New Roman" w:cs="Times New Roman" w:hint="eastAsia"/>
              </w:rPr>
              <w:t>子</w:t>
            </w:r>
            <w:proofErr w:type="gramStart"/>
            <w:r w:rsidR="000F1A9B" w:rsidRPr="00D90FCC">
              <w:rPr>
                <w:rFonts w:ascii="Times New Roman" w:eastAsia="標楷體" w:hAnsi="Times New Roman" w:cs="Times New Roman" w:hint="eastAsia"/>
              </w:rPr>
              <w:t>嶸</w:t>
            </w:r>
            <w:proofErr w:type="gramEnd"/>
            <w:r w:rsidR="000F1A9B" w:rsidRPr="00D90FCC">
              <w:rPr>
                <w:rFonts w:ascii="Times New Roman" w:eastAsia="標楷體" w:hAnsi="Times New Roman" w:cs="Times New Roman" w:hint="eastAsia"/>
              </w:rPr>
              <w:t>會計師</w:t>
            </w:r>
            <w:r w:rsidR="00FA4EE8" w:rsidRPr="00D90FCC">
              <w:rPr>
                <w:rFonts w:ascii="Times New Roman" w:eastAsia="標楷體" w:hAnsi="Times New Roman" w:cs="Times New Roman" w:hint="eastAsia"/>
              </w:rPr>
              <w:t>來為同學演講，這次的主題是</w:t>
            </w:r>
            <w:r w:rsidR="000F1A9B" w:rsidRPr="00D90FCC">
              <w:rPr>
                <w:rFonts w:ascii="Times New Roman" w:eastAsia="標楷體" w:hAnsi="Times New Roman" w:cs="Times New Roman" w:hint="eastAsia"/>
              </w:rPr>
              <w:t>如何閱讀</w:t>
            </w:r>
            <w:r w:rsidR="000F1A9B" w:rsidRPr="00D90FCC">
              <w:rPr>
                <w:rFonts w:ascii="Times New Roman" w:eastAsia="標楷體" w:hAnsi="Times New Roman" w:cs="Times New Roman" w:hint="eastAsia"/>
              </w:rPr>
              <w:t>IFRS</w:t>
            </w:r>
            <w:r w:rsidR="000F1A9B" w:rsidRPr="00D90FCC">
              <w:rPr>
                <w:rFonts w:ascii="Times New Roman" w:eastAsia="標楷體" w:hAnsi="Times New Roman" w:cs="Times New Roman" w:hint="eastAsia"/>
              </w:rPr>
              <w:t>財務報表，課程一開始先延續上次的課程，投資關聯企業及合併財務報表解析，包括編制合併報表的條件和例外、合併程序、非控制權益、分批取得控制、取得控制後股權改變，但未喪</w:t>
            </w:r>
            <w:bookmarkStart w:id="0" w:name="_GoBack"/>
            <w:bookmarkEnd w:id="0"/>
            <w:r w:rsidR="000F1A9B" w:rsidRPr="00D90FCC">
              <w:rPr>
                <w:rFonts w:ascii="Times New Roman" w:eastAsia="標楷體" w:hAnsi="Times New Roman" w:cs="Times New Roman" w:hint="eastAsia"/>
              </w:rPr>
              <w:t>失控制、喪失控制時之剩餘投資、損失超過少數股權之處理、合併財務報表之揭露、單獨財務報表…</w:t>
            </w:r>
            <w:proofErr w:type="gramStart"/>
            <w:r w:rsidR="000F1A9B" w:rsidRPr="00D90FCC">
              <w:rPr>
                <w:rFonts w:ascii="Times New Roman" w:eastAsia="標楷體" w:hAnsi="Times New Roman" w:cs="Times New Roman" w:hint="eastAsia"/>
              </w:rPr>
              <w:t>…</w:t>
            </w:r>
            <w:proofErr w:type="gramEnd"/>
            <w:r w:rsidR="000F1A9B" w:rsidRPr="00D90FCC">
              <w:rPr>
                <w:rFonts w:ascii="Times New Roman" w:eastAsia="標楷體" w:hAnsi="Times New Roman" w:cs="Times New Roman" w:hint="eastAsia"/>
              </w:rPr>
              <w:t>等等相關議題，並分別列出</w:t>
            </w:r>
            <w:r w:rsidR="000F1A9B" w:rsidRPr="00D90FCC">
              <w:rPr>
                <w:rFonts w:ascii="Times New Roman" w:eastAsia="標楷體" w:hAnsi="Times New Roman" w:cs="Times New Roman" w:hint="eastAsia"/>
              </w:rPr>
              <w:t>ROC GAAP</w:t>
            </w:r>
            <w:r w:rsidR="000F1A9B" w:rsidRPr="00D90FCC">
              <w:rPr>
                <w:rFonts w:ascii="Times New Roman" w:eastAsia="標楷體" w:hAnsi="Times New Roman" w:cs="Times New Roman" w:hint="eastAsia"/>
              </w:rPr>
              <w:t>與</w:t>
            </w:r>
            <w:r w:rsidR="000F1A9B" w:rsidRPr="00D90FCC">
              <w:rPr>
                <w:rFonts w:ascii="Times New Roman" w:eastAsia="標楷體" w:hAnsi="Times New Roman" w:cs="Times New Roman" w:hint="eastAsia"/>
              </w:rPr>
              <w:t>IFRS</w:t>
            </w:r>
            <w:r w:rsidR="000F1A9B" w:rsidRPr="00D90FCC">
              <w:rPr>
                <w:rFonts w:ascii="Times New Roman" w:eastAsia="標楷體" w:hAnsi="Times New Roman" w:cs="Times New Roman" w:hint="eastAsia"/>
              </w:rPr>
              <w:t>的差異，另外還有個體財務報告編製基礎、與合併財務報告之差異、</w:t>
            </w:r>
            <w:proofErr w:type="gramStart"/>
            <w:r w:rsidR="00D80F32" w:rsidRPr="00D90FCC">
              <w:rPr>
                <w:rFonts w:ascii="Times New Roman" w:eastAsia="標楷體" w:hAnsi="Times New Roman" w:cs="Times New Roman" w:hint="eastAsia"/>
              </w:rPr>
              <w:t>利用釋例來</w:t>
            </w:r>
            <w:proofErr w:type="gramEnd"/>
            <w:r w:rsidR="00D80F32" w:rsidRPr="00D90FCC">
              <w:rPr>
                <w:rFonts w:ascii="Times New Roman" w:eastAsia="標楷體" w:hAnsi="Times New Roman" w:cs="Times New Roman" w:hint="eastAsia"/>
              </w:rPr>
              <w:t>解釋內容，使同學更容易理解，本校會計系這次透過教學卓越計畫邀請到資誠會計師事務所的</w:t>
            </w:r>
            <w:proofErr w:type="gramStart"/>
            <w:r w:rsidR="00D80F32" w:rsidRPr="00D90FCC">
              <w:rPr>
                <w:rFonts w:ascii="Times New Roman" w:eastAsia="標楷體" w:hAnsi="Times New Roman" w:cs="Times New Roman" w:hint="eastAsia"/>
              </w:rPr>
              <w:t>鍾</w:t>
            </w:r>
            <w:proofErr w:type="gramEnd"/>
            <w:r w:rsidR="00D80F32" w:rsidRPr="00D90FCC">
              <w:rPr>
                <w:rFonts w:ascii="Times New Roman" w:eastAsia="標楷體" w:hAnsi="Times New Roman" w:cs="Times New Roman" w:hint="eastAsia"/>
              </w:rPr>
              <w:t>子</w:t>
            </w:r>
            <w:proofErr w:type="gramStart"/>
            <w:r w:rsidR="00D80F32" w:rsidRPr="00D90FCC">
              <w:rPr>
                <w:rFonts w:ascii="Times New Roman" w:eastAsia="標楷體" w:hAnsi="Times New Roman" w:cs="Times New Roman" w:hint="eastAsia"/>
              </w:rPr>
              <w:t>嶸</w:t>
            </w:r>
            <w:proofErr w:type="gramEnd"/>
            <w:r w:rsidR="00D80F32" w:rsidRPr="00D90FCC">
              <w:rPr>
                <w:rFonts w:ascii="Times New Roman" w:eastAsia="標楷體" w:hAnsi="Times New Roman" w:cs="Times New Roman" w:hint="eastAsia"/>
              </w:rPr>
              <w:t>會計師，使同學能更加理解</w:t>
            </w:r>
            <w:r w:rsidR="00D80F32" w:rsidRPr="00D90FCC">
              <w:rPr>
                <w:rFonts w:ascii="Times New Roman" w:eastAsia="標楷體" w:hAnsi="Times New Roman" w:cs="Times New Roman" w:hint="eastAsia"/>
              </w:rPr>
              <w:t>IFRS</w:t>
            </w:r>
            <w:r w:rsidR="00D80F32" w:rsidRPr="00D90FCC">
              <w:rPr>
                <w:rFonts w:ascii="Times New Roman" w:eastAsia="標楷體" w:hAnsi="Times New Roman" w:cs="Times New Roman" w:hint="eastAsia"/>
              </w:rPr>
              <w:t>對財務報表的影響。</w:t>
            </w:r>
            <w:r w:rsidR="000F1A9B" w:rsidRPr="00D90FCC">
              <w:rPr>
                <w:rFonts w:ascii="Times New Roman" w:eastAsia="標楷體" w:hAnsi="Times New Roman" w:cs="Times New Roman" w:hint="eastAsia"/>
              </w:rPr>
              <w:br/>
            </w:r>
          </w:p>
          <w:p w:rsidR="005154D4" w:rsidRPr="00D90FCC" w:rsidRDefault="005154D4" w:rsidP="00751A12">
            <w:pPr>
              <w:ind w:left="360" w:hanging="240"/>
              <w:jc w:val="both"/>
              <w:rPr>
                <w:rFonts w:eastAsia="標楷體"/>
                <w:b/>
              </w:rPr>
            </w:pPr>
            <w:r w:rsidRPr="00D90FCC">
              <w:rPr>
                <w:rFonts w:eastAsia="標楷體" w:hint="eastAsia"/>
                <w:b/>
              </w:rPr>
              <w:t>執行成效：</w:t>
            </w:r>
          </w:p>
          <w:p w:rsidR="00773429" w:rsidRPr="00D90FCC" w:rsidRDefault="005738FC" w:rsidP="00773429">
            <w:pPr>
              <w:ind w:left="360" w:hanging="240"/>
              <w:jc w:val="both"/>
              <w:rPr>
                <w:rFonts w:eastAsia="標楷體"/>
              </w:rPr>
            </w:pPr>
            <w:r w:rsidRPr="00D90FCC">
              <w:rPr>
                <w:rFonts w:eastAsia="標楷體" w:hint="eastAsia"/>
              </w:rPr>
              <w:t xml:space="preserve">    </w:t>
            </w:r>
            <w:r w:rsidR="000475CA" w:rsidRPr="00D90FCC">
              <w:rPr>
                <w:rFonts w:eastAsia="標楷體" w:hint="eastAsia"/>
              </w:rPr>
              <w:t xml:space="preserve">  </w:t>
            </w:r>
            <w:r w:rsidR="00D80F32" w:rsidRPr="00D90FCC">
              <w:rPr>
                <w:rFonts w:eastAsia="標楷體" w:hint="eastAsia"/>
              </w:rPr>
              <w:t>這次邀請到資誠會計師事務所同時也是我們的學長</w:t>
            </w:r>
            <w:proofErr w:type="gramStart"/>
            <w:r w:rsidR="00D80F32" w:rsidRPr="00D90FCC">
              <w:rPr>
                <w:rFonts w:eastAsia="標楷體" w:hint="eastAsia"/>
              </w:rPr>
              <w:t>鍾</w:t>
            </w:r>
            <w:proofErr w:type="gramEnd"/>
            <w:r w:rsidR="00D80F32" w:rsidRPr="00D90FCC">
              <w:rPr>
                <w:rFonts w:eastAsia="標楷體" w:hint="eastAsia"/>
              </w:rPr>
              <w:t>子</w:t>
            </w:r>
            <w:proofErr w:type="gramStart"/>
            <w:r w:rsidR="00D80F32" w:rsidRPr="00D90FCC">
              <w:rPr>
                <w:rFonts w:eastAsia="標楷體" w:hint="eastAsia"/>
              </w:rPr>
              <w:t>嶸</w:t>
            </w:r>
            <w:proofErr w:type="gramEnd"/>
            <w:r w:rsidR="00D80F32" w:rsidRPr="00D90FCC">
              <w:rPr>
                <w:rFonts w:eastAsia="標楷體" w:hint="eastAsia"/>
              </w:rPr>
              <w:t>會計師來為我們演講，這是延續上次的課程內容，把未講完的課程繼續講完，</w:t>
            </w:r>
            <w:proofErr w:type="gramStart"/>
            <w:r w:rsidR="00773429" w:rsidRPr="00D90FCC">
              <w:rPr>
                <w:rFonts w:eastAsia="標楷體" w:hint="eastAsia"/>
              </w:rPr>
              <w:t>鍾</w:t>
            </w:r>
            <w:proofErr w:type="gramEnd"/>
            <w:r w:rsidR="00773429" w:rsidRPr="00D90FCC">
              <w:rPr>
                <w:rFonts w:eastAsia="標楷體" w:hint="eastAsia"/>
              </w:rPr>
              <w:t>會計師提到當直接或間接擁有表決權股份超過</w:t>
            </w:r>
            <w:r w:rsidR="00773429" w:rsidRPr="00D90FCC">
              <w:rPr>
                <w:rFonts w:eastAsia="標楷體" w:hint="eastAsia"/>
              </w:rPr>
              <w:t>50%</w:t>
            </w:r>
            <w:r w:rsidR="00773429" w:rsidRPr="00D90FCC">
              <w:rPr>
                <w:rFonts w:eastAsia="標楷體" w:hint="eastAsia"/>
              </w:rPr>
              <w:t>就具有控制權，直接或間接持股未達</w:t>
            </w:r>
            <w:r w:rsidR="00773429" w:rsidRPr="00D90FCC">
              <w:rPr>
                <w:rFonts w:eastAsia="標楷體" w:hint="eastAsia"/>
              </w:rPr>
              <w:t>50%</w:t>
            </w:r>
            <w:r w:rsidR="00773429" w:rsidRPr="00D90FCC">
              <w:rPr>
                <w:rFonts w:eastAsia="標楷體" w:hint="eastAsia"/>
              </w:rPr>
              <w:t>，但有下列情形之</w:t>
            </w:r>
            <w:proofErr w:type="gramStart"/>
            <w:r w:rsidR="00773429" w:rsidRPr="00D90FCC">
              <w:rPr>
                <w:rFonts w:eastAsia="標楷體" w:hint="eastAsia"/>
              </w:rPr>
              <w:t>一</w:t>
            </w:r>
            <w:proofErr w:type="gramEnd"/>
            <w:r w:rsidR="00773429" w:rsidRPr="00D90FCC">
              <w:rPr>
                <w:rFonts w:eastAsia="標楷體" w:hint="eastAsia"/>
              </w:rPr>
              <w:t>者，仍存在控制：透過與其他投資者之協議，具超過半數表決權之權力、依法令或協議，具主導財務及營運政策之權力、具任免董事會（或類似治理單位）大多數成員之權力、具掌握董事會（或類似治理單位）大多數表決權之權力，另外也提到一個新名詞，潛在表決權，意思是企業可能擁有某些金融工具，於執行或轉換時，將使企業增加對另一個體之財務及營運政策之額外表決權或減少他方之表決權，例如：認股權證、股份買權、可轉換為普通股之債務或權益工具等，必須要注意的是潛在表決權無須考量管理階層執行或轉換之意圖及企業之財務能力，</w:t>
            </w:r>
            <w:r w:rsidR="000475CA" w:rsidRPr="00D90FCC">
              <w:rPr>
                <w:rFonts w:eastAsia="標楷體" w:hint="eastAsia"/>
              </w:rPr>
              <w:t>實質控制則是透過其他非潛在表決權、合約或法令的形式或手段，在持股低於</w:t>
            </w:r>
            <w:r w:rsidR="000475CA" w:rsidRPr="00D90FCC">
              <w:rPr>
                <w:rFonts w:eastAsia="標楷體" w:hint="eastAsia"/>
              </w:rPr>
              <w:t>50%</w:t>
            </w:r>
            <w:r w:rsidR="000475CA" w:rsidRPr="00D90FCC">
              <w:rPr>
                <w:rFonts w:eastAsia="標楷體" w:hint="eastAsia"/>
              </w:rPr>
              <w:t>的狀況下對另一個體具有控制力之情形。</w:t>
            </w:r>
          </w:p>
          <w:p w:rsidR="000475CA" w:rsidRPr="00D90FCC" w:rsidRDefault="000475CA" w:rsidP="000475CA">
            <w:pPr>
              <w:ind w:left="360" w:hanging="240"/>
              <w:jc w:val="both"/>
              <w:rPr>
                <w:rFonts w:eastAsia="標楷體"/>
              </w:rPr>
            </w:pPr>
            <w:r w:rsidRPr="00D90FCC">
              <w:rPr>
                <w:rFonts w:eastAsia="標楷體" w:hint="eastAsia"/>
              </w:rPr>
              <w:t xml:space="preserve">      </w:t>
            </w:r>
            <w:r w:rsidRPr="00D90FCC">
              <w:rPr>
                <w:rFonts w:eastAsia="標楷體" w:hint="eastAsia"/>
              </w:rPr>
              <w:t>在個體財務報告方面，</w:t>
            </w:r>
            <w:proofErr w:type="gramStart"/>
            <w:r w:rsidRPr="00D90FCC">
              <w:rPr>
                <w:rFonts w:eastAsia="標楷體" w:hint="eastAsia"/>
              </w:rPr>
              <w:t>鍾</w:t>
            </w:r>
            <w:proofErr w:type="gramEnd"/>
            <w:r w:rsidRPr="00D90FCC">
              <w:rPr>
                <w:rFonts w:eastAsia="標楷體" w:hint="eastAsia"/>
              </w:rPr>
              <w:t>會計師告訴我們個體財報的</w:t>
            </w:r>
            <w:proofErr w:type="gramStart"/>
            <w:r w:rsidRPr="00D90FCC">
              <w:rPr>
                <w:rFonts w:eastAsia="標楷體" w:hint="eastAsia"/>
              </w:rPr>
              <w:t>的</w:t>
            </w:r>
            <w:proofErr w:type="gramEnd"/>
            <w:r w:rsidRPr="00D90FCC">
              <w:rPr>
                <w:rFonts w:eastAsia="標楷體" w:hint="eastAsia"/>
              </w:rPr>
              <w:t>編制基礎，</w:t>
            </w:r>
            <w:r w:rsidR="0002224A" w:rsidRPr="00D90FCC">
              <w:rPr>
                <w:rFonts w:eastAsia="標楷體" w:hint="eastAsia"/>
              </w:rPr>
              <w:t>個體財報</w:t>
            </w:r>
            <w:proofErr w:type="gramStart"/>
            <w:r w:rsidR="0002224A" w:rsidRPr="00D90FCC">
              <w:rPr>
                <w:rFonts w:eastAsia="標楷體" w:hint="eastAsia"/>
              </w:rPr>
              <w:t>得免編製</w:t>
            </w:r>
            <w:proofErr w:type="gramEnd"/>
            <w:r w:rsidR="0002224A" w:rsidRPr="00D90FCC">
              <w:rPr>
                <w:rFonts w:eastAsia="標楷體" w:hint="eastAsia"/>
              </w:rPr>
              <w:t>營運部門資訊，</w:t>
            </w:r>
            <w:r w:rsidRPr="00D90FCC">
              <w:rPr>
                <w:rFonts w:eastAsia="標楷體" w:hint="eastAsia"/>
              </w:rPr>
              <w:t>個體財報亦須揭露首次採用</w:t>
            </w:r>
            <w:r w:rsidRPr="00D90FCC">
              <w:rPr>
                <w:rFonts w:eastAsia="標楷體" w:hint="eastAsia"/>
              </w:rPr>
              <w:t>IFRS</w:t>
            </w:r>
            <w:r w:rsidRPr="00D90FCC">
              <w:rPr>
                <w:rFonts w:eastAsia="標楷體" w:hint="eastAsia"/>
              </w:rPr>
              <w:t>相關資訊。與合併財務報告的差異在於個體財報透過長期投資科目調整，還有借款成本、財務保證、股份基礎給付交易、順逆流交易所得稅影響數、集團內金融工具及權益工具之交易、其他表達差異，例如投資性不動產、自建資產等等都會影響到個體財報與合併財報的差異，在這部分</w:t>
            </w:r>
            <w:proofErr w:type="gramStart"/>
            <w:r w:rsidRPr="00D90FCC">
              <w:rPr>
                <w:rFonts w:eastAsia="標楷體" w:hint="eastAsia"/>
              </w:rPr>
              <w:t>鍾</w:t>
            </w:r>
            <w:proofErr w:type="gramEnd"/>
            <w:r w:rsidRPr="00D90FCC">
              <w:rPr>
                <w:rFonts w:eastAsia="標楷體" w:hint="eastAsia"/>
              </w:rPr>
              <w:t>會計</w:t>
            </w:r>
            <w:proofErr w:type="gramStart"/>
            <w:r w:rsidRPr="00D90FCC">
              <w:rPr>
                <w:rFonts w:eastAsia="標楷體" w:hint="eastAsia"/>
              </w:rPr>
              <w:t>運用釋例的</w:t>
            </w:r>
            <w:proofErr w:type="gramEnd"/>
            <w:r w:rsidRPr="00D90FCC">
              <w:rPr>
                <w:rFonts w:eastAsia="標楷體" w:hint="eastAsia"/>
              </w:rPr>
              <w:t>解析，來讓我們更清楚了解相關內容</w:t>
            </w:r>
            <w:r w:rsidR="0002224A" w:rsidRPr="00D90FCC">
              <w:rPr>
                <w:rFonts w:eastAsia="標楷體" w:hint="eastAsia"/>
              </w:rPr>
              <w:t>，這次真的很高興能請到學長來為我們演講，聽完學長的演講內容，也讓我們更了解到</w:t>
            </w:r>
            <w:r w:rsidR="0002224A" w:rsidRPr="00D90FCC">
              <w:rPr>
                <w:rFonts w:eastAsia="標楷體" w:hint="eastAsia"/>
              </w:rPr>
              <w:t>IFRS</w:t>
            </w:r>
            <w:r w:rsidR="0002224A" w:rsidRPr="00D90FCC">
              <w:rPr>
                <w:rFonts w:eastAsia="標楷體" w:hint="eastAsia"/>
              </w:rPr>
              <w:t>對財務報表的重要性，</w:t>
            </w:r>
            <w:r w:rsidR="0002224A" w:rsidRPr="00D90FCC">
              <w:rPr>
                <w:rFonts w:eastAsia="標楷體" w:hint="eastAsia"/>
              </w:rPr>
              <w:lastRenderedPageBreak/>
              <w:t>在各個上市櫃公司才剛導入</w:t>
            </w:r>
            <w:r w:rsidR="0002224A" w:rsidRPr="00D90FCC">
              <w:rPr>
                <w:rFonts w:eastAsia="標楷體" w:hint="eastAsia"/>
              </w:rPr>
              <w:t>IFRS</w:t>
            </w:r>
            <w:r w:rsidR="0002224A" w:rsidRPr="00D90FCC">
              <w:rPr>
                <w:rFonts w:eastAsia="標楷體" w:hint="eastAsia"/>
              </w:rPr>
              <w:t>的</w:t>
            </w:r>
            <w:proofErr w:type="gramStart"/>
            <w:r w:rsidR="0002224A" w:rsidRPr="00D90FCC">
              <w:rPr>
                <w:rFonts w:eastAsia="標楷體" w:hint="eastAsia"/>
              </w:rPr>
              <w:t>期間裡</w:t>
            </w:r>
            <w:proofErr w:type="gramEnd"/>
            <w:r w:rsidR="0002224A" w:rsidRPr="00D90FCC">
              <w:rPr>
                <w:rFonts w:eastAsia="標楷體" w:hint="eastAsia"/>
              </w:rPr>
              <w:t>，其實我們對</w:t>
            </w:r>
            <w:r w:rsidR="0002224A" w:rsidRPr="00D90FCC">
              <w:rPr>
                <w:rFonts w:eastAsia="標楷體" w:hint="eastAsia"/>
              </w:rPr>
              <w:t>IFRS</w:t>
            </w:r>
            <w:r w:rsidR="0002224A" w:rsidRPr="00D90FCC">
              <w:rPr>
                <w:rFonts w:eastAsia="標楷體" w:hint="eastAsia"/>
              </w:rPr>
              <w:t>都還未了解，經過這次的上課內容，得到很多知識，真的很開心。</w:t>
            </w:r>
          </w:p>
          <w:p w:rsidR="00441887" w:rsidRPr="00D90FCC" w:rsidRDefault="00441887" w:rsidP="00773429">
            <w:pPr>
              <w:ind w:left="360" w:hanging="240"/>
              <w:jc w:val="both"/>
              <w:rPr>
                <w:rFonts w:eastAsia="標楷體"/>
              </w:rPr>
            </w:pPr>
          </w:p>
        </w:tc>
      </w:tr>
      <w:tr w:rsidR="00187D9A" w:rsidRPr="004F456F" w:rsidTr="005738FC">
        <w:trPr>
          <w:trHeight w:val="753"/>
          <w:jc w:val="center"/>
        </w:trPr>
        <w:tc>
          <w:tcPr>
            <w:tcW w:w="736" w:type="dxa"/>
            <w:vMerge w:val="restart"/>
            <w:tcBorders>
              <w:left w:val="single" w:sz="12" w:space="0" w:color="auto"/>
            </w:tcBorders>
            <w:shd w:val="clear" w:color="auto" w:fill="auto"/>
            <w:vAlign w:val="center"/>
          </w:tcPr>
          <w:p w:rsidR="00187D9A" w:rsidRPr="00CD6B06" w:rsidRDefault="00187D9A" w:rsidP="00187D9A">
            <w:pPr>
              <w:ind w:left="360" w:hanging="240"/>
              <w:jc w:val="center"/>
              <w:rPr>
                <w:rFonts w:ascii="Times New Roman" w:eastAsia="標楷體" w:hAnsi="標楷體"/>
                <w:b/>
                <w:szCs w:val="24"/>
              </w:rPr>
            </w:pPr>
            <w:r>
              <w:rPr>
                <w:rFonts w:ascii="Times New Roman" w:eastAsia="標楷體" w:hAnsi="標楷體" w:hint="eastAsia"/>
                <w:b/>
                <w:szCs w:val="24"/>
              </w:rPr>
              <w:lastRenderedPageBreak/>
              <w:t>相關圖片</w:t>
            </w:r>
          </w:p>
        </w:tc>
        <w:tc>
          <w:tcPr>
            <w:tcW w:w="4791" w:type="dxa"/>
            <w:tcBorders>
              <w:right w:val="single" w:sz="4" w:space="0" w:color="auto"/>
            </w:tcBorders>
            <w:shd w:val="clear" w:color="auto" w:fill="auto"/>
            <w:vAlign w:val="center"/>
          </w:tcPr>
          <w:p w:rsidR="00187D9A" w:rsidRPr="003125AC" w:rsidRDefault="0002224A" w:rsidP="00751A12">
            <w:pPr>
              <w:ind w:left="360" w:hanging="240"/>
              <w:jc w:val="center"/>
              <w:rPr>
                <w:rFonts w:ascii="標楷體" w:eastAsia="標楷體" w:hAnsi="標楷體"/>
                <w:b/>
              </w:rPr>
            </w:pPr>
            <w:r>
              <w:rPr>
                <w:rFonts w:ascii="標楷體" w:eastAsia="標楷體" w:hAnsi="標楷體"/>
                <w:b/>
                <w:noProof/>
              </w:rPr>
              <w:drawing>
                <wp:inline distT="0" distB="0" distL="0" distR="0">
                  <wp:extent cx="2915728" cy="1846052"/>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45839_795798150438855_3390575822749816810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7637" cy="1847261"/>
                          </a:xfrm>
                          <a:prstGeom prst="rect">
                            <a:avLst/>
                          </a:prstGeom>
                        </pic:spPr>
                      </pic:pic>
                    </a:graphicData>
                  </a:graphic>
                </wp:inline>
              </w:drawing>
            </w:r>
          </w:p>
        </w:tc>
        <w:tc>
          <w:tcPr>
            <w:tcW w:w="4645" w:type="dxa"/>
            <w:tcBorders>
              <w:left w:val="single" w:sz="4" w:space="0" w:color="auto"/>
              <w:right w:val="single" w:sz="12" w:space="0" w:color="auto"/>
            </w:tcBorders>
            <w:shd w:val="clear" w:color="auto" w:fill="auto"/>
            <w:vAlign w:val="center"/>
          </w:tcPr>
          <w:p w:rsidR="00187D9A" w:rsidRPr="003125AC" w:rsidRDefault="0002224A" w:rsidP="00751A12">
            <w:pPr>
              <w:ind w:left="360" w:hanging="240"/>
              <w:jc w:val="center"/>
              <w:rPr>
                <w:rFonts w:ascii="標楷體" w:eastAsia="標楷體" w:hAnsi="標楷體"/>
                <w:b/>
              </w:rPr>
            </w:pPr>
            <w:r>
              <w:rPr>
                <w:rFonts w:ascii="標楷體" w:eastAsia="標楷體" w:hAnsi="標楷體"/>
                <w:b/>
                <w:noProof/>
              </w:rPr>
              <w:drawing>
                <wp:inline distT="0" distB="0" distL="0" distR="0">
                  <wp:extent cx="2985191" cy="1682151"/>
                  <wp:effectExtent l="0" t="0" r="571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41933_795798390438831_8038937416372845209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0457" cy="1685119"/>
                          </a:xfrm>
                          <a:prstGeom prst="rect">
                            <a:avLst/>
                          </a:prstGeom>
                        </pic:spPr>
                      </pic:pic>
                    </a:graphicData>
                  </a:graphic>
                </wp:inline>
              </w:drawing>
            </w:r>
          </w:p>
        </w:tc>
      </w:tr>
      <w:tr w:rsidR="00187D9A" w:rsidRPr="004F456F" w:rsidTr="005738FC">
        <w:trPr>
          <w:trHeight w:val="454"/>
          <w:jc w:val="center"/>
        </w:trPr>
        <w:tc>
          <w:tcPr>
            <w:tcW w:w="736"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791" w:type="dxa"/>
            <w:tcBorders>
              <w:right w:val="single" w:sz="4" w:space="0" w:color="auto"/>
            </w:tcBorders>
            <w:shd w:val="clear" w:color="auto" w:fill="auto"/>
          </w:tcPr>
          <w:p w:rsidR="00187D9A" w:rsidRPr="000A3C6D" w:rsidRDefault="00187D9A" w:rsidP="00132F85">
            <w:pPr>
              <w:ind w:left="360" w:hanging="240"/>
              <w:jc w:val="both"/>
              <w:rPr>
                <w:rFonts w:ascii="標楷體" w:eastAsia="標楷體" w:hAnsi="標楷體"/>
              </w:rPr>
            </w:pPr>
            <w:r>
              <w:rPr>
                <w:rFonts w:ascii="標楷體" w:eastAsia="標楷體" w:hAnsi="標楷體" w:hint="eastAsia"/>
              </w:rPr>
              <w:t>圖片1</w:t>
            </w:r>
            <w:r w:rsidR="00441887">
              <w:rPr>
                <w:rFonts w:ascii="標楷體" w:eastAsia="標楷體" w:hAnsi="標楷體" w:hint="eastAsia"/>
              </w:rPr>
              <w:t>：</w:t>
            </w:r>
            <w:r w:rsidR="007946EF" w:rsidRPr="000A3C6D">
              <w:rPr>
                <w:rFonts w:ascii="標楷體" w:eastAsia="標楷體" w:hAnsi="標楷體"/>
              </w:rPr>
              <w:t xml:space="preserve"> </w:t>
            </w:r>
            <w:proofErr w:type="gramStart"/>
            <w:r w:rsidR="0002224A">
              <w:rPr>
                <w:rFonts w:ascii="標楷體" w:eastAsia="標楷體" w:hAnsi="標楷體" w:hint="eastAsia"/>
              </w:rPr>
              <w:t>鍾</w:t>
            </w:r>
            <w:proofErr w:type="gramEnd"/>
            <w:r w:rsidR="0002224A">
              <w:rPr>
                <w:rFonts w:ascii="標楷體" w:eastAsia="標楷體" w:hAnsi="標楷體" w:hint="eastAsia"/>
              </w:rPr>
              <w:t>會計師與老師及修課同學的合影留念。</w:t>
            </w:r>
          </w:p>
        </w:tc>
        <w:tc>
          <w:tcPr>
            <w:tcW w:w="4645" w:type="dxa"/>
            <w:tcBorders>
              <w:left w:val="single" w:sz="4" w:space="0" w:color="auto"/>
              <w:right w:val="single" w:sz="12" w:space="0" w:color="auto"/>
            </w:tcBorders>
            <w:shd w:val="clear" w:color="auto" w:fill="auto"/>
          </w:tcPr>
          <w:p w:rsidR="00187D9A" w:rsidRPr="000A3C6D" w:rsidRDefault="00187D9A" w:rsidP="00132F85">
            <w:pPr>
              <w:ind w:left="360" w:hanging="240"/>
              <w:jc w:val="both"/>
              <w:rPr>
                <w:rFonts w:ascii="標楷體" w:eastAsia="標楷體" w:hAnsi="標楷體"/>
              </w:rPr>
            </w:pPr>
            <w:r>
              <w:rPr>
                <w:rFonts w:ascii="標楷體" w:eastAsia="標楷體" w:hAnsi="標楷體" w:hint="eastAsia"/>
              </w:rPr>
              <w:t>圖片2</w:t>
            </w:r>
            <w:r w:rsidR="00441887">
              <w:rPr>
                <w:rFonts w:ascii="標楷體" w:eastAsia="標楷體" w:hAnsi="標楷體" w:hint="eastAsia"/>
              </w:rPr>
              <w:t>：</w:t>
            </w:r>
            <w:r w:rsidR="007946EF" w:rsidRPr="000A3C6D">
              <w:rPr>
                <w:rFonts w:ascii="標楷體" w:eastAsia="標楷體" w:hAnsi="標楷體"/>
              </w:rPr>
              <w:t xml:space="preserve"> </w:t>
            </w:r>
            <w:proofErr w:type="gramStart"/>
            <w:r w:rsidR="0002224A">
              <w:rPr>
                <w:rFonts w:ascii="標楷體" w:eastAsia="標楷體" w:hAnsi="標楷體" w:hint="eastAsia"/>
              </w:rPr>
              <w:t>鍾</w:t>
            </w:r>
            <w:proofErr w:type="gramEnd"/>
            <w:r w:rsidR="0002224A">
              <w:rPr>
                <w:rFonts w:ascii="標楷體" w:eastAsia="標楷體" w:hAnsi="標楷體" w:hint="eastAsia"/>
              </w:rPr>
              <w:t>會計師的上課情形</w:t>
            </w:r>
          </w:p>
        </w:tc>
      </w:tr>
      <w:tr w:rsidR="00187D9A" w:rsidRPr="004F456F" w:rsidTr="005738FC">
        <w:trPr>
          <w:trHeight w:val="454"/>
          <w:jc w:val="center"/>
        </w:trPr>
        <w:tc>
          <w:tcPr>
            <w:tcW w:w="736"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791" w:type="dxa"/>
            <w:tcBorders>
              <w:right w:val="single" w:sz="4" w:space="0" w:color="auto"/>
            </w:tcBorders>
            <w:shd w:val="clear" w:color="auto" w:fill="auto"/>
            <w:vAlign w:val="center"/>
          </w:tcPr>
          <w:p w:rsidR="00187D9A" w:rsidRPr="003125AC" w:rsidRDefault="0002224A" w:rsidP="00751A12">
            <w:pPr>
              <w:ind w:left="360" w:hanging="240"/>
              <w:jc w:val="center"/>
              <w:rPr>
                <w:rFonts w:ascii="標楷體" w:eastAsia="標楷體" w:hAnsi="標楷體"/>
                <w:b/>
              </w:rPr>
            </w:pPr>
            <w:r>
              <w:rPr>
                <w:rFonts w:ascii="標楷體" w:eastAsia="標楷體" w:hAnsi="標楷體"/>
                <w:b/>
                <w:noProof/>
              </w:rPr>
              <w:drawing>
                <wp:inline distT="0" distB="0" distL="0" distR="0">
                  <wp:extent cx="2182483" cy="2910053"/>
                  <wp:effectExtent l="0" t="0" r="8890"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4海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3911" cy="2911957"/>
                          </a:xfrm>
                          <a:prstGeom prst="rect">
                            <a:avLst/>
                          </a:prstGeom>
                        </pic:spPr>
                      </pic:pic>
                    </a:graphicData>
                  </a:graphic>
                </wp:inline>
              </w:drawing>
            </w:r>
          </w:p>
        </w:tc>
        <w:tc>
          <w:tcPr>
            <w:tcW w:w="4645" w:type="dxa"/>
            <w:tcBorders>
              <w:left w:val="single" w:sz="4" w:space="0" w:color="auto"/>
              <w:right w:val="single" w:sz="12" w:space="0" w:color="auto"/>
            </w:tcBorders>
            <w:shd w:val="clear" w:color="auto" w:fill="auto"/>
            <w:vAlign w:val="center"/>
          </w:tcPr>
          <w:p w:rsidR="00187D9A" w:rsidRPr="003125AC" w:rsidRDefault="00187D9A" w:rsidP="00751A12">
            <w:pPr>
              <w:ind w:left="360" w:hanging="240"/>
              <w:jc w:val="center"/>
              <w:rPr>
                <w:rFonts w:ascii="標楷體" w:eastAsia="標楷體" w:hAnsi="標楷體"/>
                <w:b/>
              </w:rPr>
            </w:pPr>
          </w:p>
        </w:tc>
      </w:tr>
      <w:tr w:rsidR="00187D9A" w:rsidRPr="004F456F" w:rsidTr="005738FC">
        <w:trPr>
          <w:trHeight w:val="454"/>
          <w:jc w:val="center"/>
        </w:trPr>
        <w:tc>
          <w:tcPr>
            <w:tcW w:w="736"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791" w:type="dxa"/>
            <w:tcBorders>
              <w:right w:val="single" w:sz="4" w:space="0" w:color="auto"/>
            </w:tcBorders>
            <w:shd w:val="clear" w:color="auto" w:fill="auto"/>
          </w:tcPr>
          <w:p w:rsidR="00187D9A" w:rsidRPr="000A3C6D" w:rsidRDefault="00187D9A" w:rsidP="00132F85">
            <w:pPr>
              <w:ind w:left="360" w:hanging="240"/>
              <w:jc w:val="both"/>
              <w:rPr>
                <w:rFonts w:ascii="標楷體" w:eastAsia="標楷體" w:hAnsi="標楷體"/>
              </w:rPr>
            </w:pPr>
            <w:r>
              <w:rPr>
                <w:rFonts w:ascii="標楷體" w:eastAsia="標楷體" w:hAnsi="標楷體" w:hint="eastAsia"/>
              </w:rPr>
              <w:t>圖片3</w:t>
            </w:r>
            <w:r w:rsidR="00441887">
              <w:rPr>
                <w:rFonts w:ascii="標楷體" w:eastAsia="標楷體" w:hAnsi="標楷體" w:hint="eastAsia"/>
              </w:rPr>
              <w:t>：</w:t>
            </w:r>
            <w:r w:rsidR="007946EF" w:rsidRPr="000A3C6D">
              <w:rPr>
                <w:rFonts w:ascii="標楷體" w:eastAsia="標楷體" w:hAnsi="標楷體"/>
              </w:rPr>
              <w:t xml:space="preserve"> </w:t>
            </w:r>
            <w:r w:rsidR="0002224A">
              <w:rPr>
                <w:rFonts w:ascii="標楷體" w:eastAsia="標楷體" w:hAnsi="標楷體" w:hint="eastAsia"/>
              </w:rPr>
              <w:t>上課海報</w:t>
            </w:r>
          </w:p>
        </w:tc>
        <w:tc>
          <w:tcPr>
            <w:tcW w:w="4645" w:type="dxa"/>
            <w:tcBorders>
              <w:left w:val="single" w:sz="4" w:space="0" w:color="auto"/>
              <w:right w:val="single" w:sz="12" w:space="0" w:color="auto"/>
            </w:tcBorders>
            <w:shd w:val="clear" w:color="auto" w:fill="auto"/>
          </w:tcPr>
          <w:p w:rsidR="00187D9A" w:rsidRPr="000A3C6D" w:rsidRDefault="00187D9A" w:rsidP="0002224A">
            <w:pPr>
              <w:ind w:leftChars="20" w:left="146" w:hangingChars="41" w:hanging="98"/>
              <w:jc w:val="both"/>
              <w:rPr>
                <w:rFonts w:ascii="標楷體" w:eastAsia="標楷體" w:hAnsi="標楷體"/>
              </w:rPr>
            </w:pPr>
          </w:p>
        </w:tc>
      </w:tr>
    </w:tbl>
    <w:p w:rsidR="005154D4" w:rsidRDefault="005154D4" w:rsidP="005154D4">
      <w:pPr>
        <w:spacing w:line="480" w:lineRule="exact"/>
        <w:ind w:leftChars="20" w:left="146" w:hangingChars="41" w:hanging="98"/>
        <w:rPr>
          <w:rFonts w:ascii="標楷體" w:eastAsia="標楷體" w:hAnsi="標楷體"/>
          <w:szCs w:val="24"/>
        </w:rPr>
      </w:pPr>
    </w:p>
    <w:p w:rsidR="005154D4" w:rsidRPr="00C93D25" w:rsidRDefault="005154D4" w:rsidP="005154D4">
      <w:pPr>
        <w:widowControl/>
        <w:ind w:left="360" w:hanging="240"/>
        <w:rPr>
          <w:rFonts w:ascii="標楷體" w:eastAsia="標楷體" w:hAnsi="標楷體"/>
          <w:szCs w:val="24"/>
        </w:rPr>
      </w:pPr>
    </w:p>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5C" w:rsidRDefault="00FB7B5C" w:rsidP="006A0742">
      <w:pPr>
        <w:ind w:left="360" w:hanging="240"/>
      </w:pPr>
      <w:r>
        <w:separator/>
      </w:r>
    </w:p>
  </w:endnote>
  <w:endnote w:type="continuationSeparator" w:id="0">
    <w:p w:rsidR="00FB7B5C" w:rsidRDefault="00FB7B5C" w:rsidP="006A0742">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FB7B5C" w:rsidP="006A0742">
    <w:pPr>
      <w:pStyle w:val="a5"/>
      <w:ind w:left="320" w:hanging="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7297"/>
      <w:docPartObj>
        <w:docPartGallery w:val="Page Numbers (Bottom of Page)"/>
        <w:docPartUnique/>
      </w:docPartObj>
    </w:sdtPr>
    <w:sdtEndPr/>
    <w:sdtContent>
      <w:p w:rsidR="0025437C" w:rsidRDefault="002A0693" w:rsidP="00BD728B">
        <w:pPr>
          <w:pStyle w:val="a5"/>
          <w:ind w:left="320" w:hanging="200"/>
          <w:jc w:val="center"/>
        </w:pPr>
        <w:r>
          <w:fldChar w:fldCharType="begin"/>
        </w:r>
        <w:r>
          <w:instrText xml:space="preserve"> PAGE   \* MERGEFORMAT </w:instrText>
        </w:r>
        <w:r>
          <w:fldChar w:fldCharType="separate"/>
        </w:r>
        <w:r w:rsidR="00D90FCC" w:rsidRPr="00D90FCC">
          <w:rPr>
            <w:noProof/>
            <w:lang w:val="zh-TW"/>
          </w:rPr>
          <w:t>2</w:t>
        </w:r>
        <w:r>
          <w:rPr>
            <w:noProof/>
            <w:lang w:val="zh-TW"/>
          </w:rPr>
          <w:fldChar w:fldCharType="end"/>
        </w:r>
      </w:p>
    </w:sdtContent>
  </w:sdt>
  <w:p w:rsidR="0025437C" w:rsidRDefault="00FB7B5C" w:rsidP="006B6F70">
    <w:pPr>
      <w:pStyle w:val="a5"/>
      <w:ind w:left="320" w:hanging="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FB7B5C" w:rsidP="006A0742">
    <w:pPr>
      <w:pStyle w:val="a5"/>
      <w:ind w:left="320" w:hanging="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5C" w:rsidRDefault="00FB7B5C" w:rsidP="00D5649A">
      <w:pPr>
        <w:ind w:left="360" w:hanging="240"/>
      </w:pPr>
      <w:r>
        <w:separator/>
      </w:r>
    </w:p>
  </w:footnote>
  <w:footnote w:type="continuationSeparator" w:id="0">
    <w:p w:rsidR="00FB7B5C" w:rsidRDefault="00FB7B5C" w:rsidP="006A0742">
      <w:pPr>
        <w:ind w:left="36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FB7B5C" w:rsidP="006A0742">
    <w:pPr>
      <w:pStyle w:val="a3"/>
      <w:ind w:left="320" w:hanging="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FB7B5C" w:rsidP="006B6F70">
    <w:pPr>
      <w:pStyle w:val="a3"/>
      <w:ind w:left="320" w:hanging="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FB7B5C" w:rsidP="006A0742">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D4"/>
    <w:rsid w:val="0002224A"/>
    <w:rsid w:val="00033373"/>
    <w:rsid w:val="000475CA"/>
    <w:rsid w:val="000562F5"/>
    <w:rsid w:val="000611E4"/>
    <w:rsid w:val="00080EF3"/>
    <w:rsid w:val="00092FC2"/>
    <w:rsid w:val="000D26DA"/>
    <w:rsid w:val="000D6B66"/>
    <w:rsid w:val="000E236E"/>
    <w:rsid w:val="000E57E3"/>
    <w:rsid w:val="000F1A9B"/>
    <w:rsid w:val="001112E5"/>
    <w:rsid w:val="00120BF8"/>
    <w:rsid w:val="0012581D"/>
    <w:rsid w:val="001272BF"/>
    <w:rsid w:val="00132F85"/>
    <w:rsid w:val="001369F7"/>
    <w:rsid w:val="0014348C"/>
    <w:rsid w:val="00150C69"/>
    <w:rsid w:val="0015616E"/>
    <w:rsid w:val="00160661"/>
    <w:rsid w:val="00181BF9"/>
    <w:rsid w:val="00187D9A"/>
    <w:rsid w:val="00193E9D"/>
    <w:rsid w:val="001B2F52"/>
    <w:rsid w:val="001F4E0E"/>
    <w:rsid w:val="001F567D"/>
    <w:rsid w:val="0020458A"/>
    <w:rsid w:val="00207F4D"/>
    <w:rsid w:val="002104F7"/>
    <w:rsid w:val="002169A7"/>
    <w:rsid w:val="002250FA"/>
    <w:rsid w:val="00237DDB"/>
    <w:rsid w:val="00241ADA"/>
    <w:rsid w:val="00245459"/>
    <w:rsid w:val="002460B7"/>
    <w:rsid w:val="00276E36"/>
    <w:rsid w:val="00277136"/>
    <w:rsid w:val="002775BB"/>
    <w:rsid w:val="00283886"/>
    <w:rsid w:val="002A0693"/>
    <w:rsid w:val="002A50E6"/>
    <w:rsid w:val="002A614C"/>
    <w:rsid w:val="002B1169"/>
    <w:rsid w:val="0032555B"/>
    <w:rsid w:val="00330FED"/>
    <w:rsid w:val="00354423"/>
    <w:rsid w:val="003645C9"/>
    <w:rsid w:val="003A7DBF"/>
    <w:rsid w:val="003C4882"/>
    <w:rsid w:val="003D2B26"/>
    <w:rsid w:val="003F61D5"/>
    <w:rsid w:val="003F7A1E"/>
    <w:rsid w:val="00410E13"/>
    <w:rsid w:val="004341BC"/>
    <w:rsid w:val="00441887"/>
    <w:rsid w:val="004471C9"/>
    <w:rsid w:val="00457A1E"/>
    <w:rsid w:val="004820CD"/>
    <w:rsid w:val="004A258D"/>
    <w:rsid w:val="004A29ED"/>
    <w:rsid w:val="004B25B2"/>
    <w:rsid w:val="004B4231"/>
    <w:rsid w:val="004B4E40"/>
    <w:rsid w:val="004B7372"/>
    <w:rsid w:val="004C6020"/>
    <w:rsid w:val="004D60DA"/>
    <w:rsid w:val="004E4531"/>
    <w:rsid w:val="004E539A"/>
    <w:rsid w:val="004F085E"/>
    <w:rsid w:val="005154D4"/>
    <w:rsid w:val="00515AF1"/>
    <w:rsid w:val="00533CB6"/>
    <w:rsid w:val="00552264"/>
    <w:rsid w:val="00562725"/>
    <w:rsid w:val="00571275"/>
    <w:rsid w:val="0057201E"/>
    <w:rsid w:val="005724A3"/>
    <w:rsid w:val="005738FC"/>
    <w:rsid w:val="00592CC9"/>
    <w:rsid w:val="00597DCA"/>
    <w:rsid w:val="005C11F5"/>
    <w:rsid w:val="00603F7C"/>
    <w:rsid w:val="00617A41"/>
    <w:rsid w:val="00656733"/>
    <w:rsid w:val="0066248E"/>
    <w:rsid w:val="006647F3"/>
    <w:rsid w:val="00684CAE"/>
    <w:rsid w:val="006A0742"/>
    <w:rsid w:val="006B3051"/>
    <w:rsid w:val="006B368D"/>
    <w:rsid w:val="006C58CC"/>
    <w:rsid w:val="006F7191"/>
    <w:rsid w:val="0070235E"/>
    <w:rsid w:val="00721127"/>
    <w:rsid w:val="00773429"/>
    <w:rsid w:val="0079038A"/>
    <w:rsid w:val="00791708"/>
    <w:rsid w:val="007946EF"/>
    <w:rsid w:val="007A06F4"/>
    <w:rsid w:val="007B623C"/>
    <w:rsid w:val="007D5CFA"/>
    <w:rsid w:val="007F2E40"/>
    <w:rsid w:val="00800AF3"/>
    <w:rsid w:val="00814324"/>
    <w:rsid w:val="00821128"/>
    <w:rsid w:val="00831778"/>
    <w:rsid w:val="008328BE"/>
    <w:rsid w:val="008424F1"/>
    <w:rsid w:val="00872AE2"/>
    <w:rsid w:val="008737D0"/>
    <w:rsid w:val="00883668"/>
    <w:rsid w:val="008A6FB5"/>
    <w:rsid w:val="008B4AE5"/>
    <w:rsid w:val="008E2CFE"/>
    <w:rsid w:val="008E4C06"/>
    <w:rsid w:val="008F1184"/>
    <w:rsid w:val="008F5994"/>
    <w:rsid w:val="00914500"/>
    <w:rsid w:val="009332C9"/>
    <w:rsid w:val="009438DC"/>
    <w:rsid w:val="0097052F"/>
    <w:rsid w:val="009768B6"/>
    <w:rsid w:val="009923CC"/>
    <w:rsid w:val="00992F86"/>
    <w:rsid w:val="009932A1"/>
    <w:rsid w:val="00995862"/>
    <w:rsid w:val="009A2C82"/>
    <w:rsid w:val="009A2FD0"/>
    <w:rsid w:val="009A3DF2"/>
    <w:rsid w:val="009B165F"/>
    <w:rsid w:val="009C68C4"/>
    <w:rsid w:val="009D0A74"/>
    <w:rsid w:val="00A32E54"/>
    <w:rsid w:val="00A36E0F"/>
    <w:rsid w:val="00A45E48"/>
    <w:rsid w:val="00A462F3"/>
    <w:rsid w:val="00A47DAA"/>
    <w:rsid w:val="00A53C82"/>
    <w:rsid w:val="00A735F7"/>
    <w:rsid w:val="00AA1183"/>
    <w:rsid w:val="00AA6D86"/>
    <w:rsid w:val="00AB17B3"/>
    <w:rsid w:val="00AC1584"/>
    <w:rsid w:val="00AE1A9C"/>
    <w:rsid w:val="00AF2470"/>
    <w:rsid w:val="00B1410E"/>
    <w:rsid w:val="00B167BD"/>
    <w:rsid w:val="00B1692F"/>
    <w:rsid w:val="00B30A15"/>
    <w:rsid w:val="00B3409A"/>
    <w:rsid w:val="00B41927"/>
    <w:rsid w:val="00B4195B"/>
    <w:rsid w:val="00B41E14"/>
    <w:rsid w:val="00B5503E"/>
    <w:rsid w:val="00B77EA2"/>
    <w:rsid w:val="00B846D3"/>
    <w:rsid w:val="00B92094"/>
    <w:rsid w:val="00BA069C"/>
    <w:rsid w:val="00BA0AB4"/>
    <w:rsid w:val="00BA7DBC"/>
    <w:rsid w:val="00BB5CD8"/>
    <w:rsid w:val="00BC55D2"/>
    <w:rsid w:val="00BD5CCF"/>
    <w:rsid w:val="00BD622A"/>
    <w:rsid w:val="00BE28E6"/>
    <w:rsid w:val="00BE2A7B"/>
    <w:rsid w:val="00C061DC"/>
    <w:rsid w:val="00C10948"/>
    <w:rsid w:val="00C152B8"/>
    <w:rsid w:val="00C1647E"/>
    <w:rsid w:val="00C2396A"/>
    <w:rsid w:val="00C26175"/>
    <w:rsid w:val="00C61B34"/>
    <w:rsid w:val="00C674E9"/>
    <w:rsid w:val="00C75BA7"/>
    <w:rsid w:val="00CA789C"/>
    <w:rsid w:val="00CB0934"/>
    <w:rsid w:val="00CC3263"/>
    <w:rsid w:val="00CD016A"/>
    <w:rsid w:val="00CD0C6E"/>
    <w:rsid w:val="00CD6B1E"/>
    <w:rsid w:val="00CF6CE0"/>
    <w:rsid w:val="00D17A99"/>
    <w:rsid w:val="00D2391A"/>
    <w:rsid w:val="00D47A2C"/>
    <w:rsid w:val="00D5649A"/>
    <w:rsid w:val="00D80F32"/>
    <w:rsid w:val="00D8364E"/>
    <w:rsid w:val="00D90FCC"/>
    <w:rsid w:val="00D9258C"/>
    <w:rsid w:val="00DA393E"/>
    <w:rsid w:val="00DB5541"/>
    <w:rsid w:val="00E51519"/>
    <w:rsid w:val="00E54DDB"/>
    <w:rsid w:val="00E70B4B"/>
    <w:rsid w:val="00E71E26"/>
    <w:rsid w:val="00E83F85"/>
    <w:rsid w:val="00E9468D"/>
    <w:rsid w:val="00EE2775"/>
    <w:rsid w:val="00EF0C35"/>
    <w:rsid w:val="00F01582"/>
    <w:rsid w:val="00F21BF7"/>
    <w:rsid w:val="00F33C19"/>
    <w:rsid w:val="00F52604"/>
    <w:rsid w:val="00F90777"/>
    <w:rsid w:val="00F90D9B"/>
    <w:rsid w:val="00FA3CD5"/>
    <w:rsid w:val="00FA4EE8"/>
    <w:rsid w:val="00FB6A67"/>
    <w:rsid w:val="00FB7B5C"/>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44188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418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44188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418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pccu</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2</cp:revision>
  <dcterms:created xsi:type="dcterms:W3CDTF">2014-06-10T01:48:00Z</dcterms:created>
  <dcterms:modified xsi:type="dcterms:W3CDTF">2014-06-10T01:48:00Z</dcterms:modified>
</cp:coreProperties>
</file>